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94BE3">
      <w:pPr>
        <w:widowControl/>
        <w:spacing w:after="0" w:line="240" w:lineRule="auto"/>
      </w:pPr>
    </w:p>
    <w:tbl>
      <w:tblPr>
        <w:tblStyle w:val="8"/>
        <w:tblW w:w="10884" w:type="dxa"/>
        <w:jc w:val="center"/>
        <w:tblLayout w:type="autofit"/>
        <w:tblCellMar>
          <w:top w:w="0" w:type="dxa"/>
          <w:left w:w="108" w:type="dxa"/>
          <w:bottom w:w="0" w:type="dxa"/>
          <w:right w:w="108" w:type="dxa"/>
        </w:tblCellMar>
      </w:tblPr>
      <w:tblGrid>
        <w:gridCol w:w="604"/>
        <w:gridCol w:w="6484"/>
        <w:gridCol w:w="3796"/>
      </w:tblGrid>
      <w:tr w14:paraId="7E9F474A">
        <w:tblPrEx>
          <w:tblCellMar>
            <w:top w:w="0" w:type="dxa"/>
            <w:left w:w="108" w:type="dxa"/>
            <w:bottom w:w="0" w:type="dxa"/>
            <w:right w:w="108" w:type="dxa"/>
          </w:tblCellMar>
        </w:tblPrEx>
        <w:trPr>
          <w:trHeight w:val="702" w:hRule="atLeast"/>
          <w:jc w:val="center"/>
        </w:trPr>
        <w:tc>
          <w:tcPr>
            <w:tcW w:w="10884" w:type="dxa"/>
            <w:gridSpan w:val="3"/>
            <w:tcBorders>
              <w:top w:val="nil"/>
              <w:left w:val="nil"/>
              <w:bottom w:val="nil"/>
              <w:right w:val="nil"/>
            </w:tcBorders>
            <w:vAlign w:val="center"/>
          </w:tcPr>
          <w:p w14:paraId="71BD423A">
            <w:pPr>
              <w:widowControl/>
              <w:jc w:val="center"/>
              <w:textAlignment w:val="center"/>
              <w:rPr>
                <w:rFonts w:ascii="宋体" w:hAnsi="宋体" w:eastAsia="宋体" w:cs="宋体"/>
                <w:b/>
                <w:bCs/>
                <w:color w:val="000000"/>
                <w:sz w:val="40"/>
                <w:szCs w:val="40"/>
                <w14:ligatures w14:val="none"/>
              </w:rPr>
            </w:pPr>
            <w:r>
              <w:rPr>
                <w:rFonts w:hint="eastAsia" w:ascii="宋体" w:hAnsi="宋体" w:eastAsia="宋体" w:cs="宋体"/>
                <w:b/>
                <w:bCs/>
                <w:color w:val="000000"/>
                <w:kern w:val="0"/>
                <w:sz w:val="44"/>
                <w:szCs w:val="44"/>
              </w:rPr>
              <w:t>采购需求表</w:t>
            </w:r>
          </w:p>
        </w:tc>
      </w:tr>
      <w:tr w14:paraId="12C260A0">
        <w:tblPrEx>
          <w:tblCellMar>
            <w:top w:w="0" w:type="dxa"/>
            <w:left w:w="108" w:type="dxa"/>
            <w:bottom w:w="0" w:type="dxa"/>
            <w:right w:w="108" w:type="dxa"/>
          </w:tblCellMar>
        </w:tblPrEx>
        <w:trPr>
          <w:trHeight w:val="418" w:hRule="atLeast"/>
          <w:jc w:val="center"/>
        </w:trPr>
        <w:tc>
          <w:tcPr>
            <w:tcW w:w="604" w:type="dxa"/>
            <w:vMerge w:val="restart"/>
            <w:tcBorders>
              <w:top w:val="single" w:color="000000" w:sz="4" w:space="0"/>
              <w:left w:val="single" w:color="000000" w:sz="4" w:space="0"/>
              <w:right w:val="single" w:color="000000" w:sz="4" w:space="0"/>
            </w:tcBorders>
            <w:vAlign w:val="center"/>
          </w:tcPr>
          <w:p w14:paraId="3E157E8C">
            <w:pPr>
              <w:widowControl/>
              <w:rPr>
                <w:rFonts w:ascii="宋体" w:hAnsi="宋体" w:eastAsia="宋体" w:cs="宋体"/>
                <w:color w:val="000000"/>
                <w:sz w:val="32"/>
                <w:szCs w:val="32"/>
              </w:rPr>
            </w:pPr>
          </w:p>
        </w:tc>
        <w:tc>
          <w:tcPr>
            <w:tcW w:w="6484" w:type="dxa"/>
            <w:tcBorders>
              <w:top w:val="single" w:color="000000" w:sz="4" w:space="0"/>
              <w:left w:val="nil"/>
              <w:bottom w:val="single" w:color="000000" w:sz="4" w:space="0"/>
              <w:right w:val="single" w:color="000000" w:sz="4" w:space="0"/>
            </w:tcBorders>
            <w:vAlign w:val="center"/>
          </w:tcPr>
          <w:p w14:paraId="379157C0">
            <w:pPr>
              <w:widowControl/>
              <w:spacing w:line="240" w:lineRule="exact"/>
              <w:contextualSpacing/>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项目名称</w:t>
            </w:r>
          </w:p>
        </w:tc>
        <w:tc>
          <w:tcPr>
            <w:tcW w:w="3796" w:type="dxa"/>
            <w:tcBorders>
              <w:top w:val="single" w:color="000000" w:sz="4" w:space="0"/>
              <w:left w:val="nil"/>
              <w:bottom w:val="single" w:color="000000" w:sz="4" w:space="0"/>
              <w:right w:val="single" w:color="000000" w:sz="4" w:space="0"/>
            </w:tcBorders>
            <w:vAlign w:val="center"/>
          </w:tcPr>
          <w:p w14:paraId="4EBA0964">
            <w:pPr>
              <w:spacing w:line="240" w:lineRule="exact"/>
              <w:contextualSpacing/>
              <w:jc w:val="center"/>
              <w:rPr>
                <w:rFonts w:ascii="宋体" w:hAnsi="宋体" w:eastAsia="宋体" w:cs="宋体"/>
                <w:bCs/>
                <w:color w:val="000000"/>
                <w:sz w:val="24"/>
              </w:rPr>
            </w:pPr>
            <w:r>
              <w:rPr>
                <w:rFonts w:hint="eastAsia" w:ascii="宋体" w:hAnsi="宋体" w:eastAsia="宋体" w:cs="宋体"/>
              </w:rPr>
              <w:t>防火墙设备采购</w:t>
            </w:r>
          </w:p>
        </w:tc>
      </w:tr>
      <w:tr w14:paraId="0DB49A57">
        <w:tblPrEx>
          <w:tblCellMar>
            <w:top w:w="0" w:type="dxa"/>
            <w:left w:w="108" w:type="dxa"/>
            <w:bottom w:w="0" w:type="dxa"/>
            <w:right w:w="108" w:type="dxa"/>
          </w:tblCellMar>
        </w:tblPrEx>
        <w:trPr>
          <w:trHeight w:val="417"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vAlign w:val="center"/>
          </w:tcPr>
          <w:p w14:paraId="0CC67CB7">
            <w:pPr>
              <w:widowControl/>
              <w:rPr>
                <w:rFonts w:ascii="宋体" w:hAnsi="宋体" w:eastAsia="宋体" w:cs="宋体"/>
                <w:color w:val="000000"/>
                <w:sz w:val="32"/>
                <w:szCs w:val="32"/>
              </w:rPr>
            </w:pPr>
          </w:p>
        </w:tc>
        <w:tc>
          <w:tcPr>
            <w:tcW w:w="6484" w:type="dxa"/>
            <w:tcBorders>
              <w:top w:val="single" w:color="000000" w:sz="4" w:space="0"/>
              <w:left w:val="nil"/>
              <w:bottom w:val="single" w:color="000000" w:sz="4" w:space="0"/>
              <w:right w:val="single" w:color="000000" w:sz="4" w:space="0"/>
            </w:tcBorders>
            <w:vAlign w:val="center"/>
          </w:tcPr>
          <w:p w14:paraId="71A47A4E">
            <w:pPr>
              <w:widowControl/>
              <w:spacing w:line="240" w:lineRule="exact"/>
              <w:contextualSpacing/>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数量</w:t>
            </w:r>
          </w:p>
        </w:tc>
        <w:tc>
          <w:tcPr>
            <w:tcW w:w="3796" w:type="dxa"/>
            <w:tcBorders>
              <w:top w:val="single" w:color="000000" w:sz="4" w:space="0"/>
              <w:left w:val="nil"/>
              <w:bottom w:val="single" w:color="000000" w:sz="4" w:space="0"/>
              <w:right w:val="single" w:color="000000" w:sz="4" w:space="0"/>
            </w:tcBorders>
            <w:vAlign w:val="center"/>
          </w:tcPr>
          <w:p w14:paraId="283FF8D3">
            <w:pPr>
              <w:spacing w:line="240" w:lineRule="exact"/>
              <w:contextualSpacing/>
              <w:jc w:val="center"/>
              <w:rPr>
                <w:rFonts w:ascii="宋体" w:hAnsi="宋体" w:eastAsia="宋体" w:cs="宋体"/>
                <w:bCs/>
                <w:color w:val="000000"/>
                <w:sz w:val="24"/>
              </w:rPr>
            </w:pPr>
            <w:r>
              <w:rPr>
                <w:rFonts w:hint="eastAsia" w:ascii="宋体" w:hAnsi="宋体" w:eastAsia="宋体" w:cs="宋体"/>
                <w:bCs/>
                <w:color w:val="000000"/>
                <w:sz w:val="24"/>
              </w:rPr>
              <w:t>4台</w:t>
            </w:r>
          </w:p>
        </w:tc>
      </w:tr>
      <w:tr w14:paraId="395C4EDE">
        <w:tblPrEx>
          <w:tblCellMar>
            <w:top w:w="0" w:type="dxa"/>
            <w:left w:w="108" w:type="dxa"/>
            <w:bottom w:w="0" w:type="dxa"/>
            <w:right w:w="108" w:type="dxa"/>
          </w:tblCellMar>
        </w:tblPrEx>
        <w:trPr>
          <w:trHeight w:val="326" w:hRule="atLeast"/>
          <w:jc w:val="center"/>
        </w:trPr>
        <w:tc>
          <w:tcPr>
            <w:tcW w:w="604" w:type="dxa"/>
            <w:vMerge w:val="restart"/>
            <w:tcBorders>
              <w:top w:val="nil"/>
              <w:left w:val="single" w:color="000000" w:sz="4" w:space="0"/>
              <w:bottom w:val="single" w:color="000000" w:sz="4" w:space="0"/>
              <w:right w:val="single" w:color="000000" w:sz="4" w:space="0"/>
            </w:tcBorders>
            <w:vAlign w:val="center"/>
          </w:tcPr>
          <w:p w14:paraId="61CCE784">
            <w:pPr>
              <w:widowControl/>
              <w:spacing w:line="360" w:lineRule="auto"/>
              <w:textAlignment w:val="center"/>
              <w:rPr>
                <w:rFonts w:ascii="宋体" w:hAnsi="宋体" w:eastAsia="宋体" w:cs="宋体"/>
                <w:b/>
                <w:bCs/>
                <w:color w:val="000000"/>
                <w:sz w:val="32"/>
                <w:szCs w:val="32"/>
              </w:rPr>
            </w:pPr>
            <w:r>
              <w:rPr>
                <w:rFonts w:hint="eastAsia" w:ascii="宋体" w:hAnsi="宋体" w:eastAsia="宋体" w:cs="宋体"/>
                <w:b/>
                <w:bCs/>
                <w:color w:val="000000"/>
                <w:spacing w:val="40"/>
                <w:kern w:val="0"/>
                <w:sz w:val="28"/>
                <w:szCs w:val="28"/>
              </w:rPr>
              <w:t>参数需</w:t>
            </w:r>
            <w:r>
              <w:rPr>
                <w:rFonts w:hint="eastAsia" w:ascii="宋体" w:hAnsi="宋体" w:eastAsia="宋体" w:cs="宋体"/>
                <w:b/>
                <w:bCs/>
                <w:color w:val="000000"/>
                <w:kern w:val="0"/>
                <w:sz w:val="28"/>
                <w:szCs w:val="28"/>
              </w:rPr>
              <w:t>求</w:t>
            </w:r>
          </w:p>
        </w:tc>
        <w:tc>
          <w:tcPr>
            <w:tcW w:w="6484" w:type="dxa"/>
            <w:tcBorders>
              <w:top w:val="single" w:color="000000" w:sz="4" w:space="0"/>
              <w:left w:val="nil"/>
              <w:bottom w:val="single" w:color="000000" w:sz="4" w:space="0"/>
              <w:right w:val="single" w:color="000000" w:sz="4" w:space="0"/>
            </w:tcBorders>
            <w:vAlign w:val="center"/>
          </w:tcPr>
          <w:p w14:paraId="7593891E">
            <w:pPr>
              <w:widowControl/>
              <w:spacing w:after="40" w:line="240" w:lineRule="exact"/>
              <w:contextualSpacing/>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技术和性能参数需求</w:t>
            </w:r>
          </w:p>
        </w:tc>
        <w:tc>
          <w:tcPr>
            <w:tcW w:w="3796" w:type="dxa"/>
            <w:tcBorders>
              <w:top w:val="single" w:color="000000" w:sz="4" w:space="0"/>
              <w:left w:val="nil"/>
              <w:bottom w:val="single" w:color="000000" w:sz="4" w:space="0"/>
              <w:right w:val="single" w:color="000000" w:sz="4" w:space="0"/>
            </w:tcBorders>
            <w:vAlign w:val="center"/>
          </w:tcPr>
          <w:p w14:paraId="26853435">
            <w:pPr>
              <w:widowControl/>
              <w:spacing w:after="40" w:line="240" w:lineRule="exact"/>
              <w:contextualSpacing/>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配置需求</w:t>
            </w:r>
          </w:p>
        </w:tc>
      </w:tr>
      <w:tr w14:paraId="06B3D609">
        <w:tblPrEx>
          <w:tblCellMar>
            <w:top w:w="0" w:type="dxa"/>
            <w:left w:w="108" w:type="dxa"/>
            <w:bottom w:w="0" w:type="dxa"/>
            <w:right w:w="108" w:type="dxa"/>
          </w:tblCellMar>
        </w:tblPrEx>
        <w:trPr>
          <w:trHeight w:val="9771" w:hRule="atLeast"/>
          <w:jc w:val="center"/>
        </w:trPr>
        <w:tc>
          <w:tcPr>
            <w:tcW w:w="604" w:type="dxa"/>
            <w:vMerge w:val="continue"/>
            <w:tcBorders>
              <w:top w:val="nil"/>
              <w:left w:val="single" w:color="000000" w:sz="4" w:space="0"/>
              <w:bottom w:val="single" w:color="000000" w:sz="4" w:space="0"/>
              <w:right w:val="single" w:color="000000" w:sz="4" w:space="0"/>
            </w:tcBorders>
            <w:vAlign w:val="center"/>
          </w:tcPr>
          <w:p w14:paraId="482AF2B2">
            <w:pPr>
              <w:widowControl/>
              <w:rPr>
                <w:rFonts w:ascii="宋体" w:hAnsi="宋体" w:eastAsia="宋体" w:cs="宋体"/>
                <w:b/>
                <w:bCs/>
                <w:color w:val="000000"/>
                <w:sz w:val="32"/>
                <w:szCs w:val="32"/>
              </w:rPr>
            </w:pPr>
          </w:p>
        </w:tc>
        <w:tc>
          <w:tcPr>
            <w:tcW w:w="6484" w:type="dxa"/>
            <w:vMerge w:val="restart"/>
            <w:tcBorders>
              <w:top w:val="nil"/>
              <w:left w:val="nil"/>
              <w:bottom w:val="single" w:color="000000" w:sz="4" w:space="0"/>
              <w:right w:val="single" w:color="000000" w:sz="4" w:space="0"/>
            </w:tcBorders>
            <w:vAlign w:val="center"/>
          </w:tcPr>
          <w:p w14:paraId="68558689">
            <w:pPr>
              <w:spacing w:line="250" w:lineRule="exact"/>
              <w:contextualSpacing/>
              <w:rPr>
                <w:rFonts w:ascii="宋体" w:hAnsi="宋体" w:eastAsia="宋体" w:cs="宋体"/>
                <w:color w:val="000000"/>
                <w:szCs w:val="22"/>
              </w:rPr>
            </w:pPr>
            <w:r>
              <w:rPr>
                <w:rFonts w:hint="eastAsia" w:ascii="宋体" w:hAnsi="宋体" w:eastAsia="宋体" w:cs="宋体"/>
                <w:color w:val="000000"/>
                <w:szCs w:val="22"/>
              </w:rPr>
              <w:t>防火墙1：</w:t>
            </w:r>
          </w:p>
          <w:p w14:paraId="2DC45341">
            <w:pPr>
              <w:spacing w:line="250" w:lineRule="exact"/>
              <w:contextualSpacing/>
              <w:rPr>
                <w:rFonts w:ascii="宋体" w:hAnsi="宋体" w:eastAsia="宋体" w:cs="宋体"/>
                <w:color w:val="000000"/>
                <w:szCs w:val="22"/>
              </w:rPr>
            </w:pPr>
            <w:r>
              <w:rPr>
                <w:rFonts w:ascii="宋体" w:hAnsi="宋体" w:eastAsia="宋体" w:cs="宋体"/>
                <w:color w:val="000000"/>
                <w:szCs w:val="22"/>
              </w:rPr>
              <w:t>1、防火墙吞吐量≥15Gbps，最大并发连接数≥1000万，每秒新建连接数≥25万。</w:t>
            </w:r>
          </w:p>
          <w:p w14:paraId="26EB3A71">
            <w:pPr>
              <w:spacing w:line="250" w:lineRule="exact"/>
              <w:contextualSpacing/>
              <w:rPr>
                <w:rFonts w:ascii="宋体" w:hAnsi="宋体" w:eastAsia="宋体" w:cs="宋体"/>
                <w:color w:val="000000"/>
                <w:szCs w:val="22"/>
              </w:rPr>
            </w:pPr>
            <w:r>
              <w:rPr>
                <w:rFonts w:ascii="宋体" w:hAnsi="宋体" w:eastAsia="宋体" w:cs="宋体"/>
                <w:color w:val="000000"/>
                <w:szCs w:val="22"/>
              </w:rPr>
              <w:t>2、千兆Combo接口≥8，千兆电口≥4，千兆光口≥4，万兆光口≥6，硬盘容量≥200G。</w:t>
            </w:r>
          </w:p>
          <w:p w14:paraId="346FB415">
            <w:pPr>
              <w:spacing w:line="250" w:lineRule="exact"/>
              <w:contextualSpacing/>
              <w:rPr>
                <w:rFonts w:ascii="宋体" w:hAnsi="宋体" w:eastAsia="宋体" w:cs="宋体"/>
                <w:color w:val="000000"/>
                <w:szCs w:val="22"/>
              </w:rPr>
            </w:pPr>
            <w:r>
              <w:rPr>
                <w:rFonts w:ascii="宋体" w:hAnsi="宋体" w:eastAsia="宋体" w:cs="宋体"/>
                <w:color w:val="000000"/>
                <w:szCs w:val="22"/>
              </w:rPr>
              <w:t>3、电源模块≥2，风扇模块≥2。</w:t>
            </w:r>
          </w:p>
          <w:p w14:paraId="71CFFFED">
            <w:pPr>
              <w:spacing w:line="250" w:lineRule="exact"/>
              <w:contextualSpacing/>
              <w:rPr>
                <w:rFonts w:ascii="宋体" w:hAnsi="宋体" w:eastAsia="宋体" w:cs="宋体"/>
                <w:color w:val="000000"/>
                <w:szCs w:val="22"/>
              </w:rPr>
            </w:pPr>
            <w:r>
              <w:rPr>
                <w:rFonts w:ascii="宋体" w:hAnsi="宋体" w:eastAsia="宋体" w:cs="宋体"/>
                <w:color w:val="000000"/>
                <w:szCs w:val="22"/>
              </w:rPr>
              <w:t>4、支持虚拟线，二层透明，三层，混合，旁路监听，单臂接入方式</w:t>
            </w:r>
            <w:r>
              <w:rPr>
                <w:rFonts w:hint="eastAsia" w:ascii="宋体" w:hAnsi="宋体" w:eastAsia="宋体" w:cs="宋体"/>
                <w:color w:val="000000"/>
                <w:szCs w:val="22"/>
              </w:rPr>
              <w:t>。</w:t>
            </w:r>
          </w:p>
          <w:p w14:paraId="506E8A6B">
            <w:pPr>
              <w:spacing w:line="250" w:lineRule="exact"/>
              <w:contextualSpacing/>
              <w:rPr>
                <w:rFonts w:ascii="宋体" w:hAnsi="宋体" w:eastAsia="宋体" w:cs="宋体"/>
                <w:color w:val="000000"/>
                <w:szCs w:val="22"/>
              </w:rPr>
            </w:pPr>
            <w:r>
              <w:rPr>
                <w:rFonts w:ascii="宋体" w:hAnsi="宋体" w:eastAsia="宋体" w:cs="宋体"/>
                <w:color w:val="000000"/>
                <w:szCs w:val="22"/>
              </w:rPr>
              <w:t>5、支持A-S模式、A-A模式</w:t>
            </w:r>
          </w:p>
          <w:p w14:paraId="1377AC40">
            <w:pPr>
              <w:spacing w:line="250" w:lineRule="exact"/>
              <w:contextualSpacing/>
              <w:rPr>
                <w:rFonts w:ascii="宋体" w:hAnsi="宋体" w:eastAsia="宋体" w:cs="宋体"/>
                <w:color w:val="000000"/>
                <w:szCs w:val="22"/>
              </w:rPr>
            </w:pPr>
            <w:r>
              <w:rPr>
                <w:rFonts w:ascii="宋体" w:hAnsi="宋体" w:eastAsia="宋体" w:cs="宋体"/>
                <w:color w:val="000000"/>
                <w:szCs w:val="22"/>
              </w:rPr>
              <w:t>6、支持传统防火墙、VPN、入侵防御、防病毒、带宽管理、URL过滤等多种功能。</w:t>
            </w:r>
          </w:p>
          <w:p w14:paraId="3EE071C2">
            <w:pPr>
              <w:spacing w:line="250" w:lineRule="exact"/>
              <w:contextualSpacing/>
              <w:rPr>
                <w:rFonts w:ascii="宋体" w:hAnsi="宋体" w:eastAsia="宋体" w:cs="宋体"/>
                <w:color w:val="000000"/>
                <w:szCs w:val="22"/>
              </w:rPr>
            </w:pPr>
            <w:r>
              <w:rPr>
                <w:rFonts w:ascii="宋体" w:hAnsi="宋体" w:eastAsia="宋体" w:cs="宋体"/>
                <w:color w:val="000000"/>
                <w:szCs w:val="22"/>
              </w:rPr>
              <w:t>7、支持HTTP、HTTPS、DNS等应用层Flood攻击。</w:t>
            </w:r>
          </w:p>
          <w:p w14:paraId="55E2DE5F">
            <w:pPr>
              <w:spacing w:line="250" w:lineRule="exact"/>
              <w:contextualSpacing/>
              <w:rPr>
                <w:rFonts w:ascii="宋体" w:hAnsi="宋体" w:eastAsia="宋体" w:cs="宋体"/>
                <w:color w:val="000000"/>
                <w:szCs w:val="22"/>
              </w:rPr>
            </w:pPr>
            <w:r>
              <w:rPr>
                <w:rFonts w:ascii="宋体" w:hAnsi="宋体" w:eastAsia="宋体" w:cs="宋体"/>
                <w:color w:val="000000"/>
                <w:szCs w:val="22"/>
              </w:rPr>
              <w:t>8、提供基于源/目的IP地址、安全区、应用、应用组、协议/端口、时间、安全模板的精细粒度的安全访问控制，时间精确到秒级</w:t>
            </w:r>
            <w:r>
              <w:rPr>
                <w:rFonts w:hint="eastAsia" w:ascii="宋体" w:hAnsi="宋体" w:eastAsia="宋体" w:cs="宋体"/>
                <w:color w:val="000000"/>
                <w:szCs w:val="22"/>
              </w:rPr>
              <w:t>。</w:t>
            </w:r>
          </w:p>
          <w:p w14:paraId="07E2136A">
            <w:pPr>
              <w:spacing w:line="250" w:lineRule="exact"/>
              <w:contextualSpacing/>
              <w:rPr>
                <w:rFonts w:ascii="宋体" w:hAnsi="宋体" w:eastAsia="宋体" w:cs="宋体"/>
                <w:color w:val="000000"/>
                <w:szCs w:val="22"/>
              </w:rPr>
            </w:pPr>
            <w:r>
              <w:rPr>
                <w:rFonts w:ascii="宋体" w:hAnsi="宋体" w:eastAsia="宋体" w:cs="宋体"/>
                <w:color w:val="000000"/>
                <w:szCs w:val="22"/>
              </w:rPr>
              <w:t>9、策略可按匹配顺序、策略分组、新建顺序、安全区分组等不同维度的查看方式，在按匹配顺序查看下，可以实现优先级的调整，也可以输入具体的策略序号、置顶或者置底等方式进行调整</w:t>
            </w:r>
            <w:r>
              <w:rPr>
                <w:rFonts w:hint="eastAsia" w:ascii="宋体" w:hAnsi="宋体" w:eastAsia="宋体" w:cs="宋体"/>
                <w:color w:val="000000"/>
                <w:szCs w:val="22"/>
              </w:rPr>
              <w:t>。</w:t>
            </w:r>
          </w:p>
          <w:p w14:paraId="6BABB0DA">
            <w:pPr>
              <w:spacing w:line="250" w:lineRule="exact"/>
              <w:contextualSpacing/>
              <w:rPr>
                <w:rFonts w:ascii="宋体" w:hAnsi="宋体" w:eastAsia="宋体" w:cs="宋体"/>
                <w:color w:val="000000"/>
                <w:szCs w:val="22"/>
              </w:rPr>
            </w:pPr>
            <w:r>
              <w:rPr>
                <w:rFonts w:ascii="宋体" w:hAnsi="宋体" w:eastAsia="宋体" w:cs="宋体"/>
                <w:color w:val="000000"/>
                <w:szCs w:val="22"/>
              </w:rPr>
              <w:t>1</w:t>
            </w:r>
            <w:r>
              <w:rPr>
                <w:rFonts w:hint="eastAsia" w:ascii="宋体" w:hAnsi="宋体" w:eastAsia="宋体" w:cs="宋体"/>
                <w:color w:val="000000"/>
                <w:szCs w:val="22"/>
              </w:rPr>
              <w:t>0</w:t>
            </w:r>
            <w:r>
              <w:rPr>
                <w:rFonts w:ascii="宋体" w:hAnsi="宋体" w:eastAsia="宋体" w:cs="宋体"/>
                <w:color w:val="000000"/>
                <w:szCs w:val="22"/>
              </w:rPr>
              <w:t>、系统预定义IPS签名数量≥20000，CVE的签名条目数不得少于11000，支持用户自定义签名规则，支持正则表达式，提供具备CNAS或CMA资质机构提供的三方测试报告。</w:t>
            </w:r>
          </w:p>
          <w:p w14:paraId="142687CA">
            <w:pPr>
              <w:spacing w:line="250" w:lineRule="exact"/>
              <w:contextualSpacing/>
              <w:rPr>
                <w:rFonts w:ascii="宋体" w:hAnsi="宋体" w:eastAsia="宋体" w:cs="宋体"/>
                <w:color w:val="000000"/>
                <w:szCs w:val="22"/>
              </w:rPr>
            </w:pPr>
            <w:r>
              <w:rPr>
                <w:rFonts w:ascii="宋体" w:hAnsi="宋体" w:eastAsia="宋体" w:cs="宋体"/>
                <w:color w:val="000000"/>
                <w:szCs w:val="22"/>
              </w:rPr>
              <w:t>1</w:t>
            </w:r>
            <w:r>
              <w:rPr>
                <w:rFonts w:hint="eastAsia" w:ascii="宋体" w:hAnsi="宋体" w:eastAsia="宋体" w:cs="宋体"/>
                <w:color w:val="000000"/>
                <w:szCs w:val="22"/>
              </w:rPr>
              <w:t>1</w:t>
            </w:r>
            <w:r>
              <w:rPr>
                <w:rFonts w:ascii="宋体" w:hAnsi="宋体" w:eastAsia="宋体" w:cs="宋体"/>
                <w:color w:val="000000"/>
                <w:szCs w:val="22"/>
              </w:rPr>
              <w:t>、支持最大100层的病毒压缩文件检测和阻断，提供具备CNAS或CMA资质机构提供的三方测试报告。</w:t>
            </w:r>
          </w:p>
          <w:p w14:paraId="4FF38552">
            <w:pPr>
              <w:spacing w:line="250" w:lineRule="exact"/>
              <w:contextualSpacing/>
              <w:rPr>
                <w:rFonts w:ascii="宋体" w:hAnsi="宋体" w:eastAsia="宋体" w:cs="宋体"/>
                <w:color w:val="000000"/>
                <w:szCs w:val="22"/>
              </w:rPr>
            </w:pPr>
            <w:r>
              <w:rPr>
                <w:rFonts w:ascii="宋体" w:hAnsi="宋体" w:eastAsia="宋体" w:cs="宋体"/>
                <w:color w:val="000000"/>
                <w:szCs w:val="22"/>
              </w:rPr>
              <w:t>1</w:t>
            </w:r>
            <w:r>
              <w:rPr>
                <w:rFonts w:hint="eastAsia" w:ascii="宋体" w:hAnsi="宋体" w:eastAsia="宋体" w:cs="宋体"/>
                <w:color w:val="000000"/>
                <w:szCs w:val="22"/>
              </w:rPr>
              <w:t>2</w:t>
            </w:r>
            <w:r>
              <w:rPr>
                <w:rFonts w:ascii="宋体" w:hAnsi="宋体" w:eastAsia="宋体" w:cs="宋体"/>
                <w:color w:val="000000"/>
                <w:szCs w:val="22"/>
              </w:rPr>
              <w:t>、文件传输协议，支持基于HTTP、FTP、POP3、SMTP、IMAP协议的进行多线程下载以及有密码压缩包下载限制</w:t>
            </w:r>
          </w:p>
          <w:p w14:paraId="65329D02">
            <w:pPr>
              <w:spacing w:line="250" w:lineRule="exact"/>
              <w:contextualSpacing/>
              <w:rPr>
                <w:rFonts w:ascii="宋体" w:hAnsi="宋体" w:eastAsia="宋体" w:cs="宋体"/>
                <w:color w:val="000000"/>
                <w:szCs w:val="22"/>
              </w:rPr>
            </w:pPr>
            <w:r>
              <w:rPr>
                <w:rFonts w:ascii="宋体" w:hAnsi="宋体" w:eastAsia="宋体" w:cs="宋体"/>
                <w:color w:val="000000"/>
                <w:szCs w:val="22"/>
              </w:rPr>
              <w:t>1</w:t>
            </w:r>
            <w:r>
              <w:rPr>
                <w:rFonts w:hint="eastAsia" w:ascii="宋体" w:hAnsi="宋体" w:eastAsia="宋体" w:cs="宋体"/>
                <w:color w:val="000000"/>
                <w:szCs w:val="22"/>
              </w:rPr>
              <w:t>3</w:t>
            </w:r>
            <w:r>
              <w:rPr>
                <w:rFonts w:ascii="宋体" w:hAnsi="宋体" w:eastAsia="宋体" w:cs="宋体"/>
                <w:color w:val="000000"/>
                <w:szCs w:val="22"/>
              </w:rPr>
              <w:t>、支持基于FTP、HTTP、SMTP、POP3、IMAP、SMB、NFS、IECMMS、IEC104协议的病毒检测与阻断，包括邮件正文/附件、网页及下载文件中包含的病毒</w:t>
            </w:r>
            <w:r>
              <w:rPr>
                <w:rFonts w:hint="eastAsia" w:ascii="宋体" w:hAnsi="宋体" w:eastAsia="宋体" w:cs="宋体"/>
                <w:color w:val="000000"/>
                <w:szCs w:val="22"/>
              </w:rPr>
              <w:t>。</w:t>
            </w:r>
          </w:p>
          <w:p w14:paraId="3BEF7EB4">
            <w:pPr>
              <w:spacing w:line="250" w:lineRule="exact"/>
              <w:contextualSpacing/>
              <w:rPr>
                <w:rFonts w:ascii="宋体" w:hAnsi="宋体" w:eastAsia="宋体" w:cs="宋体"/>
                <w:color w:val="000000"/>
                <w:szCs w:val="22"/>
                <w:highlight w:val="yellow"/>
              </w:rPr>
            </w:pPr>
            <w:r>
              <w:rPr>
                <w:rFonts w:ascii="宋体" w:hAnsi="宋体" w:eastAsia="宋体" w:cs="宋体"/>
                <w:color w:val="000000"/>
                <w:szCs w:val="22"/>
                <w:highlight w:val="yellow"/>
              </w:rPr>
              <w:t>1</w:t>
            </w:r>
            <w:r>
              <w:rPr>
                <w:rFonts w:hint="eastAsia" w:ascii="宋体" w:hAnsi="宋体" w:eastAsia="宋体" w:cs="宋体"/>
                <w:color w:val="000000"/>
                <w:szCs w:val="22"/>
                <w:highlight w:val="yellow"/>
              </w:rPr>
              <w:t>4</w:t>
            </w:r>
            <w:r>
              <w:rPr>
                <w:rFonts w:ascii="宋体" w:hAnsi="宋体" w:eastAsia="宋体" w:cs="宋体"/>
                <w:color w:val="000000"/>
                <w:szCs w:val="22"/>
                <w:highlight w:val="yellow"/>
              </w:rPr>
              <w:t>、所投产品具备《网络关键设备和网络安全专用产品安全认证证书》</w:t>
            </w:r>
            <w:r>
              <w:rPr>
                <w:rFonts w:hint="eastAsia" w:ascii="宋体" w:hAnsi="宋体" w:eastAsia="宋体" w:cs="宋体"/>
                <w:color w:val="000000"/>
                <w:szCs w:val="22"/>
                <w:highlight w:val="yellow"/>
              </w:rPr>
              <w:t>。</w:t>
            </w:r>
          </w:p>
          <w:p w14:paraId="5C3B665E">
            <w:pPr>
              <w:spacing w:line="250" w:lineRule="exact"/>
              <w:contextualSpacing/>
              <w:rPr>
                <w:rFonts w:ascii="宋体" w:hAnsi="宋体" w:eastAsia="宋体" w:cs="宋体"/>
                <w:color w:val="000000"/>
                <w:szCs w:val="22"/>
              </w:rPr>
            </w:pPr>
            <w:r>
              <w:rPr>
                <w:rFonts w:ascii="宋体" w:hAnsi="宋体" w:eastAsia="宋体" w:cs="宋体"/>
                <w:color w:val="000000"/>
                <w:szCs w:val="22"/>
                <w:highlight w:val="yellow"/>
              </w:rPr>
              <w:t>1</w:t>
            </w:r>
            <w:r>
              <w:rPr>
                <w:rFonts w:hint="eastAsia" w:ascii="宋体" w:hAnsi="宋体" w:eastAsia="宋体" w:cs="宋体"/>
                <w:color w:val="000000"/>
                <w:szCs w:val="22"/>
                <w:highlight w:val="yellow"/>
              </w:rPr>
              <w:t>5</w:t>
            </w:r>
            <w:r>
              <w:rPr>
                <w:rFonts w:ascii="宋体" w:hAnsi="宋体" w:eastAsia="宋体" w:cs="宋体"/>
                <w:color w:val="000000"/>
                <w:szCs w:val="22"/>
                <w:highlight w:val="yellow"/>
              </w:rPr>
              <w:t>、设备厂商具备知识产权合规管理体系认证证书</w:t>
            </w:r>
            <w:r>
              <w:rPr>
                <w:rFonts w:hint="eastAsia" w:ascii="宋体" w:hAnsi="宋体" w:eastAsia="宋体" w:cs="宋体"/>
                <w:color w:val="000000"/>
                <w:szCs w:val="22"/>
                <w:highlight w:val="yellow"/>
              </w:rPr>
              <w:t>。</w:t>
            </w:r>
          </w:p>
          <w:p w14:paraId="3ABD619B">
            <w:pPr>
              <w:spacing w:line="250" w:lineRule="exact"/>
              <w:contextualSpacing/>
              <w:rPr>
                <w:rFonts w:ascii="宋体" w:hAnsi="宋体" w:eastAsia="宋体" w:cs="宋体"/>
                <w:color w:val="000000"/>
                <w:szCs w:val="22"/>
              </w:rPr>
            </w:pPr>
            <w:r>
              <w:rPr>
                <w:rFonts w:ascii="宋体" w:hAnsi="宋体" w:eastAsia="宋体" w:cs="宋体"/>
                <w:color w:val="000000"/>
                <w:szCs w:val="22"/>
              </w:rPr>
              <w:t>1</w:t>
            </w:r>
            <w:r>
              <w:rPr>
                <w:rFonts w:hint="eastAsia" w:ascii="宋体" w:hAnsi="宋体" w:eastAsia="宋体" w:cs="宋体"/>
                <w:color w:val="000000"/>
                <w:szCs w:val="22"/>
              </w:rPr>
              <w:t>6</w:t>
            </w:r>
            <w:r>
              <w:rPr>
                <w:rFonts w:ascii="宋体" w:hAnsi="宋体" w:eastAsia="宋体" w:cs="宋体"/>
                <w:color w:val="000000"/>
                <w:szCs w:val="22"/>
              </w:rPr>
              <w:t>、入侵防护模块，含入侵防护特征库的五年升级</w:t>
            </w:r>
            <w:r>
              <w:rPr>
                <w:rFonts w:hint="eastAsia" w:ascii="宋体" w:hAnsi="宋体" w:eastAsia="宋体" w:cs="宋体"/>
                <w:color w:val="000000"/>
                <w:szCs w:val="22"/>
              </w:rPr>
              <w:t>。</w:t>
            </w:r>
          </w:p>
          <w:p w14:paraId="520253E4">
            <w:pPr>
              <w:spacing w:line="250" w:lineRule="exact"/>
              <w:contextualSpacing/>
              <w:rPr>
                <w:rFonts w:ascii="宋体" w:hAnsi="宋体" w:eastAsia="宋体" w:cs="宋体"/>
                <w:color w:val="000000"/>
                <w:szCs w:val="22"/>
              </w:rPr>
            </w:pPr>
            <w:r>
              <w:rPr>
                <w:rFonts w:ascii="宋体" w:hAnsi="宋体" w:eastAsia="宋体" w:cs="宋体"/>
                <w:color w:val="000000"/>
                <w:szCs w:val="22"/>
              </w:rPr>
              <w:t>1</w:t>
            </w:r>
            <w:r>
              <w:rPr>
                <w:rFonts w:hint="eastAsia" w:ascii="宋体" w:hAnsi="宋体" w:eastAsia="宋体" w:cs="宋体"/>
                <w:color w:val="000000"/>
                <w:szCs w:val="22"/>
              </w:rPr>
              <w:t>7</w:t>
            </w:r>
            <w:r>
              <w:rPr>
                <w:rFonts w:ascii="宋体" w:hAnsi="宋体" w:eastAsia="宋体" w:cs="宋体"/>
                <w:color w:val="000000"/>
                <w:szCs w:val="22"/>
              </w:rPr>
              <w:t>、防病毒模块，含病毒特征库五年升级</w:t>
            </w:r>
            <w:r>
              <w:rPr>
                <w:rFonts w:hint="eastAsia" w:ascii="宋体" w:hAnsi="宋体" w:eastAsia="宋体" w:cs="宋体"/>
                <w:color w:val="000000"/>
                <w:szCs w:val="22"/>
              </w:rPr>
              <w:t>。</w:t>
            </w:r>
          </w:p>
          <w:p w14:paraId="3D73ADE4">
            <w:pPr>
              <w:spacing w:line="250" w:lineRule="exact"/>
              <w:contextualSpacing/>
              <w:rPr>
                <w:rFonts w:ascii="宋体" w:hAnsi="宋体" w:eastAsia="宋体" w:cs="宋体"/>
                <w:color w:val="000000"/>
                <w:szCs w:val="22"/>
              </w:rPr>
            </w:pPr>
            <w:r>
              <w:rPr>
                <w:rFonts w:hint="eastAsia" w:ascii="宋体" w:hAnsi="宋体" w:eastAsia="宋体" w:cs="宋体"/>
                <w:color w:val="000000"/>
                <w:szCs w:val="22"/>
              </w:rPr>
              <w:t>18</w:t>
            </w:r>
            <w:r>
              <w:rPr>
                <w:rFonts w:ascii="宋体" w:hAnsi="宋体" w:eastAsia="宋体" w:cs="宋体"/>
                <w:color w:val="000000"/>
                <w:szCs w:val="22"/>
              </w:rPr>
              <w:t>、10GE多模模块≥4个</w:t>
            </w:r>
            <w:r>
              <w:rPr>
                <w:rFonts w:hint="eastAsia" w:ascii="宋体" w:hAnsi="宋体" w:eastAsia="宋体" w:cs="宋体"/>
                <w:color w:val="000000"/>
                <w:szCs w:val="22"/>
              </w:rPr>
              <w:t>。</w:t>
            </w:r>
          </w:p>
          <w:p w14:paraId="64568B62">
            <w:pPr>
              <w:spacing w:line="250" w:lineRule="exact"/>
              <w:contextualSpacing/>
              <w:rPr>
                <w:rFonts w:ascii="宋体" w:hAnsi="宋体" w:eastAsia="宋体" w:cs="宋体"/>
                <w:color w:val="000000"/>
                <w:szCs w:val="22"/>
              </w:rPr>
            </w:pPr>
          </w:p>
          <w:p w14:paraId="2E7AD2B2">
            <w:pPr>
              <w:spacing w:line="250" w:lineRule="exact"/>
              <w:contextualSpacing/>
              <w:rPr>
                <w:rFonts w:ascii="宋体" w:hAnsi="宋体" w:eastAsia="宋体" w:cs="宋体"/>
                <w:color w:val="000000"/>
                <w:szCs w:val="22"/>
              </w:rPr>
            </w:pPr>
            <w:r>
              <w:rPr>
                <w:rFonts w:hint="eastAsia" w:ascii="宋体" w:hAnsi="宋体" w:eastAsia="宋体" w:cs="宋体"/>
                <w:color w:val="000000"/>
                <w:szCs w:val="22"/>
              </w:rPr>
              <w:t>防火墙2：</w:t>
            </w:r>
          </w:p>
          <w:p w14:paraId="545FDBAE">
            <w:pPr>
              <w:spacing w:line="250" w:lineRule="exact"/>
              <w:contextualSpacing/>
              <w:rPr>
                <w:rFonts w:ascii="宋体" w:hAnsi="宋体" w:eastAsia="宋体" w:cs="宋体"/>
                <w:color w:val="000000"/>
                <w:szCs w:val="22"/>
              </w:rPr>
            </w:pPr>
            <w:r>
              <w:rPr>
                <w:rFonts w:ascii="宋体" w:hAnsi="宋体" w:eastAsia="宋体" w:cs="宋体"/>
                <w:color w:val="000000"/>
                <w:szCs w:val="22"/>
              </w:rPr>
              <w:t>1、防火墙吞吐量≥20Gbps,最大并发连接数≥400万,每秒新建连接数≥30万。</w:t>
            </w:r>
          </w:p>
          <w:p w14:paraId="5CA860C5">
            <w:pPr>
              <w:spacing w:line="250" w:lineRule="exact"/>
              <w:contextualSpacing/>
              <w:rPr>
                <w:rFonts w:ascii="宋体" w:hAnsi="宋体" w:eastAsia="宋体" w:cs="宋体"/>
                <w:color w:val="000000"/>
                <w:szCs w:val="22"/>
              </w:rPr>
            </w:pPr>
            <w:r>
              <w:rPr>
                <w:rFonts w:ascii="宋体" w:hAnsi="宋体" w:eastAsia="宋体" w:cs="宋体"/>
                <w:color w:val="000000"/>
                <w:szCs w:val="22"/>
              </w:rPr>
              <w:t>2、RJ45串口≥1，RJ45管理口≥1，USB接口≥2，≥4个万兆SFP+接口，≥4个千兆SFP接口；≥16G内存，≥256G固态硬盘，≥4T 机械硬盘；</w:t>
            </w:r>
          </w:p>
          <w:p w14:paraId="300C62B8">
            <w:pPr>
              <w:spacing w:line="250" w:lineRule="exact"/>
              <w:contextualSpacing/>
              <w:rPr>
                <w:rFonts w:ascii="宋体" w:hAnsi="宋体" w:eastAsia="宋体" w:cs="宋体"/>
                <w:color w:val="000000"/>
                <w:szCs w:val="22"/>
              </w:rPr>
            </w:pPr>
            <w:r>
              <w:rPr>
                <w:rFonts w:ascii="宋体" w:hAnsi="宋体" w:eastAsia="宋体" w:cs="宋体"/>
                <w:color w:val="000000"/>
                <w:szCs w:val="22"/>
              </w:rPr>
              <w:t>3、电源模块≥2，风扇模块≥2。</w:t>
            </w:r>
          </w:p>
          <w:p w14:paraId="187B3C30">
            <w:pPr>
              <w:spacing w:line="250" w:lineRule="exact"/>
              <w:contextualSpacing/>
              <w:rPr>
                <w:rFonts w:ascii="宋体" w:hAnsi="宋体" w:eastAsia="宋体" w:cs="宋体"/>
                <w:color w:val="000000"/>
                <w:szCs w:val="22"/>
              </w:rPr>
            </w:pPr>
            <w:r>
              <w:rPr>
                <w:rFonts w:ascii="宋体" w:hAnsi="宋体" w:eastAsia="宋体" w:cs="宋体"/>
                <w:color w:val="000000"/>
                <w:szCs w:val="22"/>
              </w:rPr>
              <w:t>4、支持虚拟线，二层透明，三层，混合，旁路监听，单臂接入方式</w:t>
            </w:r>
            <w:r>
              <w:rPr>
                <w:rFonts w:hint="eastAsia" w:ascii="宋体" w:hAnsi="宋体" w:eastAsia="宋体" w:cs="宋体"/>
                <w:color w:val="000000"/>
                <w:szCs w:val="22"/>
              </w:rPr>
              <w:t>。</w:t>
            </w:r>
          </w:p>
          <w:p w14:paraId="1E335632">
            <w:pPr>
              <w:spacing w:line="250" w:lineRule="exact"/>
              <w:contextualSpacing/>
              <w:rPr>
                <w:rFonts w:ascii="宋体" w:hAnsi="宋体" w:eastAsia="宋体" w:cs="宋体"/>
                <w:color w:val="000000"/>
                <w:szCs w:val="22"/>
              </w:rPr>
            </w:pPr>
            <w:r>
              <w:rPr>
                <w:rFonts w:ascii="宋体" w:hAnsi="宋体" w:eastAsia="宋体" w:cs="宋体"/>
                <w:color w:val="000000"/>
                <w:szCs w:val="22"/>
              </w:rPr>
              <w:t>5、支持A-S模式、A-A模式</w:t>
            </w:r>
            <w:r>
              <w:rPr>
                <w:rFonts w:hint="eastAsia" w:ascii="宋体" w:hAnsi="宋体" w:eastAsia="宋体" w:cs="宋体"/>
                <w:color w:val="000000"/>
                <w:szCs w:val="22"/>
              </w:rPr>
              <w:t>。</w:t>
            </w:r>
          </w:p>
          <w:p w14:paraId="6284413F">
            <w:pPr>
              <w:spacing w:line="250" w:lineRule="exact"/>
              <w:contextualSpacing/>
              <w:rPr>
                <w:rFonts w:ascii="宋体" w:hAnsi="宋体" w:eastAsia="宋体" w:cs="宋体"/>
                <w:color w:val="000000"/>
                <w:szCs w:val="22"/>
              </w:rPr>
            </w:pPr>
            <w:r>
              <w:rPr>
                <w:rFonts w:ascii="宋体" w:hAnsi="宋体" w:eastAsia="宋体" w:cs="宋体"/>
                <w:color w:val="000000"/>
                <w:szCs w:val="22"/>
              </w:rPr>
              <w:t>6、支持传统防火墙、VPN、入侵防御、防病毒、带宽管理、URL过滤等多种功能。</w:t>
            </w:r>
          </w:p>
          <w:p w14:paraId="7292A730">
            <w:pPr>
              <w:spacing w:line="250" w:lineRule="exact"/>
              <w:contextualSpacing/>
              <w:rPr>
                <w:rFonts w:ascii="宋体" w:hAnsi="宋体" w:eastAsia="宋体" w:cs="宋体"/>
                <w:color w:val="000000"/>
                <w:szCs w:val="22"/>
              </w:rPr>
            </w:pPr>
            <w:r>
              <w:rPr>
                <w:rFonts w:ascii="宋体" w:hAnsi="宋体" w:eastAsia="宋体" w:cs="宋体"/>
                <w:color w:val="000000"/>
                <w:szCs w:val="22"/>
              </w:rPr>
              <w:t>7、支持HTTP、HTTPS、DNS等应用层Flood攻击。</w:t>
            </w:r>
          </w:p>
          <w:p w14:paraId="13A49AD2">
            <w:pPr>
              <w:spacing w:line="250" w:lineRule="exact"/>
              <w:contextualSpacing/>
              <w:rPr>
                <w:rFonts w:ascii="宋体" w:hAnsi="宋体" w:eastAsia="宋体" w:cs="宋体"/>
                <w:color w:val="000000"/>
                <w:szCs w:val="22"/>
              </w:rPr>
            </w:pPr>
            <w:r>
              <w:rPr>
                <w:rFonts w:ascii="宋体" w:hAnsi="宋体" w:eastAsia="宋体" w:cs="宋体"/>
                <w:color w:val="000000"/>
                <w:szCs w:val="22"/>
              </w:rPr>
              <w:t>8、提供基于源/目的IP地址、安全区、应用、应用组、协议/端口、时间、安全模板的精细粒度的安全访问控制，时间精确到秒级</w:t>
            </w:r>
          </w:p>
          <w:p w14:paraId="1E064B12">
            <w:pPr>
              <w:spacing w:line="250" w:lineRule="exact"/>
              <w:contextualSpacing/>
              <w:rPr>
                <w:rFonts w:ascii="宋体" w:hAnsi="宋体" w:eastAsia="宋体" w:cs="宋体"/>
                <w:color w:val="000000"/>
                <w:szCs w:val="22"/>
              </w:rPr>
            </w:pPr>
            <w:r>
              <w:rPr>
                <w:rFonts w:ascii="宋体" w:hAnsi="宋体" w:eastAsia="宋体" w:cs="宋体"/>
                <w:color w:val="000000"/>
                <w:szCs w:val="22"/>
              </w:rPr>
              <w:t>9、策略可按匹配顺序、策略分组、新建顺序、安全区分组等不同维度的查看方式，在按匹配顺序查看下，可以实现优先级的调整，也可以输入具体的策略序号、置顶或者置底等方式进行调整</w:t>
            </w:r>
          </w:p>
          <w:p w14:paraId="50885BB6">
            <w:pPr>
              <w:spacing w:line="250" w:lineRule="exact"/>
              <w:contextualSpacing/>
              <w:rPr>
                <w:rFonts w:ascii="宋体" w:hAnsi="宋体" w:eastAsia="宋体" w:cs="宋体"/>
                <w:color w:val="000000"/>
                <w:szCs w:val="22"/>
              </w:rPr>
            </w:pPr>
            <w:r>
              <w:rPr>
                <w:rFonts w:ascii="宋体" w:hAnsi="宋体" w:eastAsia="宋体" w:cs="宋体"/>
                <w:color w:val="000000"/>
                <w:szCs w:val="22"/>
              </w:rPr>
              <w:t>10、为高效编辑策略，支持对多条策略的源/目的地址、协议/端口、应用、时间等进行批量修改，实现一次修改覆盖多条策略</w:t>
            </w:r>
            <w:r>
              <w:rPr>
                <w:rFonts w:hint="eastAsia" w:ascii="宋体" w:hAnsi="宋体" w:eastAsia="宋体" w:cs="宋体"/>
                <w:color w:val="000000"/>
                <w:szCs w:val="22"/>
              </w:rPr>
              <w:t>。</w:t>
            </w:r>
          </w:p>
          <w:p w14:paraId="2F595FD7">
            <w:pPr>
              <w:spacing w:line="250" w:lineRule="exact"/>
              <w:contextualSpacing/>
              <w:rPr>
                <w:rFonts w:ascii="宋体" w:hAnsi="宋体" w:eastAsia="宋体" w:cs="宋体"/>
                <w:color w:val="000000"/>
                <w:szCs w:val="22"/>
              </w:rPr>
            </w:pPr>
            <w:r>
              <w:rPr>
                <w:rFonts w:ascii="宋体" w:hAnsi="宋体" w:eastAsia="宋体" w:cs="宋体"/>
                <w:color w:val="000000"/>
                <w:szCs w:val="22"/>
              </w:rPr>
              <w:t>11、支持≥11000种入侵规则过滤并提供服务器、内网等多种规则模板（提供截图证明并加盖投标人公章）</w:t>
            </w:r>
            <w:r>
              <w:rPr>
                <w:rFonts w:hint="eastAsia" w:ascii="宋体" w:hAnsi="宋体" w:eastAsia="宋体" w:cs="宋体"/>
                <w:color w:val="000000"/>
                <w:szCs w:val="22"/>
              </w:rPr>
              <w:t>。</w:t>
            </w:r>
          </w:p>
          <w:p w14:paraId="07CDBD3F">
            <w:pPr>
              <w:spacing w:line="250" w:lineRule="exact"/>
              <w:contextualSpacing/>
              <w:rPr>
                <w:rFonts w:ascii="宋体" w:hAnsi="宋体" w:eastAsia="宋体" w:cs="宋体"/>
                <w:color w:val="000000"/>
                <w:szCs w:val="22"/>
              </w:rPr>
            </w:pPr>
            <w:r>
              <w:rPr>
                <w:rFonts w:ascii="宋体" w:hAnsi="宋体" w:eastAsia="宋体" w:cs="宋体"/>
                <w:color w:val="000000"/>
                <w:szCs w:val="22"/>
              </w:rPr>
              <w:t>12、支持远程扫描、暴力破解、缓存区溢出、蠕虫病毒、木马后门、SQL注入、跨站脚本等检测和防护</w:t>
            </w:r>
            <w:r>
              <w:rPr>
                <w:rFonts w:hint="eastAsia" w:ascii="宋体" w:hAnsi="宋体" w:eastAsia="宋体" w:cs="宋体"/>
                <w:color w:val="000000"/>
                <w:szCs w:val="22"/>
              </w:rPr>
              <w:t>。</w:t>
            </w:r>
          </w:p>
          <w:p w14:paraId="515BF8D9">
            <w:pPr>
              <w:spacing w:line="250" w:lineRule="exact"/>
              <w:contextualSpacing/>
              <w:rPr>
                <w:rFonts w:ascii="宋体" w:hAnsi="宋体" w:eastAsia="宋体" w:cs="宋体"/>
                <w:color w:val="000000"/>
                <w:szCs w:val="22"/>
              </w:rPr>
            </w:pPr>
            <w:r>
              <w:rPr>
                <w:rFonts w:ascii="宋体" w:hAnsi="宋体" w:eastAsia="宋体" w:cs="宋体"/>
                <w:color w:val="000000"/>
                <w:szCs w:val="22"/>
              </w:rPr>
              <w:t>13、支持≥2500万文件病毒库，病毒查杀率高</w:t>
            </w:r>
            <w:r>
              <w:rPr>
                <w:rFonts w:hint="eastAsia" w:ascii="宋体" w:hAnsi="宋体" w:eastAsia="宋体" w:cs="宋体"/>
                <w:color w:val="000000"/>
                <w:szCs w:val="22"/>
              </w:rPr>
              <w:t>。</w:t>
            </w:r>
          </w:p>
          <w:p w14:paraId="120573AF">
            <w:pPr>
              <w:spacing w:line="250" w:lineRule="exact"/>
              <w:contextualSpacing/>
              <w:rPr>
                <w:rFonts w:ascii="宋体" w:hAnsi="宋体" w:eastAsia="宋体" w:cs="宋体"/>
                <w:color w:val="000000"/>
                <w:szCs w:val="22"/>
              </w:rPr>
            </w:pPr>
            <w:r>
              <w:rPr>
                <w:rFonts w:ascii="宋体" w:hAnsi="宋体" w:eastAsia="宋体" w:cs="宋体"/>
                <w:color w:val="000000"/>
                <w:szCs w:val="22"/>
              </w:rPr>
              <w:t>（提供截图证明并加盖投标人公章）</w:t>
            </w:r>
          </w:p>
          <w:p w14:paraId="53E9DFD6">
            <w:pPr>
              <w:spacing w:line="250" w:lineRule="exact"/>
              <w:contextualSpacing/>
              <w:rPr>
                <w:rFonts w:ascii="宋体" w:hAnsi="宋体" w:eastAsia="宋体" w:cs="宋体"/>
                <w:color w:val="000000"/>
                <w:szCs w:val="22"/>
              </w:rPr>
            </w:pPr>
            <w:r>
              <w:rPr>
                <w:rFonts w:ascii="宋体" w:hAnsi="宋体" w:eastAsia="宋体" w:cs="宋体"/>
                <w:color w:val="000000"/>
                <w:szCs w:val="22"/>
              </w:rPr>
              <w:t>14、文件传输协议，支持基于HTTP、FTP、POP3、SMTP、IMAP协议的进行多线程下载以及有密码压缩包下载限制</w:t>
            </w:r>
            <w:r>
              <w:rPr>
                <w:rFonts w:hint="eastAsia" w:ascii="宋体" w:hAnsi="宋体" w:eastAsia="宋体" w:cs="宋体"/>
                <w:color w:val="000000"/>
                <w:szCs w:val="22"/>
              </w:rPr>
              <w:t>。</w:t>
            </w:r>
          </w:p>
          <w:p w14:paraId="7C58CA79">
            <w:pPr>
              <w:spacing w:line="250" w:lineRule="exact"/>
              <w:contextualSpacing/>
              <w:rPr>
                <w:rFonts w:ascii="宋体" w:hAnsi="宋体" w:eastAsia="宋体" w:cs="宋体"/>
                <w:color w:val="000000"/>
                <w:szCs w:val="22"/>
              </w:rPr>
            </w:pPr>
            <w:r>
              <w:rPr>
                <w:rFonts w:ascii="宋体" w:hAnsi="宋体" w:eastAsia="宋体" w:cs="宋体"/>
                <w:color w:val="000000"/>
                <w:szCs w:val="22"/>
              </w:rPr>
              <w:t>1</w:t>
            </w:r>
            <w:r>
              <w:rPr>
                <w:rFonts w:hint="eastAsia" w:ascii="宋体" w:hAnsi="宋体" w:eastAsia="宋体" w:cs="宋体"/>
                <w:color w:val="000000"/>
                <w:szCs w:val="22"/>
              </w:rPr>
              <w:t>5</w:t>
            </w:r>
            <w:r>
              <w:rPr>
                <w:rFonts w:ascii="宋体" w:hAnsi="宋体" w:eastAsia="宋体" w:cs="宋体"/>
                <w:color w:val="000000"/>
                <w:szCs w:val="22"/>
              </w:rPr>
              <w:t>、支持ZIP/ARJ/CAB/RAR/GZIP/BZIP2/TAR等不少于20层压缩文件的病毒查杀</w:t>
            </w:r>
            <w:r>
              <w:rPr>
                <w:rFonts w:hint="eastAsia" w:ascii="宋体" w:hAnsi="宋体" w:eastAsia="宋体" w:cs="宋体"/>
                <w:color w:val="000000"/>
                <w:szCs w:val="22"/>
              </w:rPr>
              <w:t>。</w:t>
            </w:r>
          </w:p>
          <w:p w14:paraId="027DFCD3">
            <w:pPr>
              <w:spacing w:line="250" w:lineRule="exact"/>
              <w:contextualSpacing/>
              <w:rPr>
                <w:rFonts w:ascii="宋体" w:hAnsi="宋体" w:eastAsia="宋体" w:cs="宋体"/>
                <w:color w:val="000000"/>
                <w:szCs w:val="22"/>
              </w:rPr>
            </w:pPr>
            <w:r>
              <w:rPr>
                <w:rFonts w:ascii="宋体" w:hAnsi="宋体" w:eastAsia="宋体" w:cs="宋体"/>
                <w:color w:val="000000"/>
                <w:szCs w:val="22"/>
              </w:rPr>
              <w:t>（提供截图证明并加盖原厂公章）</w:t>
            </w:r>
          </w:p>
          <w:p w14:paraId="3473A201">
            <w:pPr>
              <w:spacing w:line="250" w:lineRule="exact"/>
              <w:contextualSpacing/>
              <w:rPr>
                <w:rFonts w:ascii="宋体" w:hAnsi="宋体" w:eastAsia="宋体" w:cs="宋体"/>
                <w:color w:val="000000"/>
                <w:szCs w:val="22"/>
              </w:rPr>
            </w:pPr>
            <w:r>
              <w:rPr>
                <w:rFonts w:hint="eastAsia" w:ascii="宋体" w:hAnsi="宋体" w:eastAsia="宋体" w:cs="宋体"/>
                <w:color w:val="000000"/>
                <w:szCs w:val="22"/>
                <w:highlight w:val="yellow"/>
              </w:rPr>
              <w:t>16、</w:t>
            </w:r>
            <w:r>
              <w:rPr>
                <w:rFonts w:ascii="宋体" w:hAnsi="宋体" w:eastAsia="宋体" w:cs="宋体"/>
                <w:color w:val="000000"/>
                <w:szCs w:val="22"/>
                <w:highlight w:val="yellow"/>
              </w:rPr>
              <w:t>所投产品具备《网络关键设备和网络安全专用产品安全认证证书》</w:t>
            </w:r>
            <w:r>
              <w:rPr>
                <w:rFonts w:hint="eastAsia" w:ascii="宋体" w:hAnsi="宋体" w:eastAsia="宋体" w:cs="宋体"/>
                <w:color w:val="000000"/>
                <w:szCs w:val="22"/>
                <w:highlight w:val="yellow"/>
              </w:rPr>
              <w:t>。</w:t>
            </w:r>
          </w:p>
          <w:p w14:paraId="0D37E454">
            <w:pPr>
              <w:spacing w:line="250" w:lineRule="exact"/>
              <w:contextualSpacing/>
              <w:rPr>
                <w:rFonts w:ascii="宋体" w:hAnsi="宋体" w:eastAsia="宋体" w:cs="宋体"/>
                <w:color w:val="000000"/>
                <w:szCs w:val="22"/>
              </w:rPr>
            </w:pPr>
            <w:r>
              <w:rPr>
                <w:rFonts w:ascii="宋体" w:hAnsi="宋体" w:eastAsia="宋体" w:cs="宋体"/>
                <w:color w:val="000000"/>
                <w:szCs w:val="22"/>
              </w:rPr>
              <w:t>1</w:t>
            </w:r>
            <w:r>
              <w:rPr>
                <w:rFonts w:hint="eastAsia" w:ascii="宋体" w:hAnsi="宋体" w:eastAsia="宋体" w:cs="宋体"/>
                <w:color w:val="000000"/>
                <w:szCs w:val="22"/>
              </w:rPr>
              <w:t>7</w:t>
            </w:r>
            <w:r>
              <w:rPr>
                <w:rFonts w:ascii="宋体" w:hAnsi="宋体" w:eastAsia="宋体" w:cs="宋体"/>
                <w:color w:val="000000"/>
                <w:szCs w:val="22"/>
              </w:rPr>
              <w:t>、所投产品具备IPv6 Enabled Security Logo认证。</w:t>
            </w:r>
          </w:p>
          <w:p w14:paraId="18402BA1">
            <w:pPr>
              <w:spacing w:line="250" w:lineRule="exact"/>
              <w:contextualSpacing/>
              <w:rPr>
                <w:rFonts w:ascii="宋体" w:hAnsi="宋体" w:eastAsia="宋体" w:cs="宋体"/>
                <w:color w:val="000000"/>
                <w:szCs w:val="22"/>
              </w:rPr>
            </w:pPr>
            <w:r>
              <w:rPr>
                <w:rFonts w:ascii="宋体" w:hAnsi="宋体" w:eastAsia="宋体" w:cs="宋体"/>
                <w:color w:val="000000"/>
                <w:szCs w:val="22"/>
              </w:rPr>
              <w:t>1</w:t>
            </w:r>
            <w:r>
              <w:rPr>
                <w:rFonts w:hint="eastAsia" w:ascii="宋体" w:hAnsi="宋体" w:eastAsia="宋体" w:cs="宋体"/>
                <w:color w:val="000000"/>
                <w:szCs w:val="22"/>
              </w:rPr>
              <w:t>8</w:t>
            </w:r>
            <w:r>
              <w:rPr>
                <w:rFonts w:ascii="宋体" w:hAnsi="宋体" w:eastAsia="宋体" w:cs="宋体"/>
                <w:color w:val="000000"/>
                <w:szCs w:val="22"/>
              </w:rPr>
              <w:t>、设备厂商具备知识产权合规管理体系认证证书</w:t>
            </w:r>
            <w:r>
              <w:rPr>
                <w:rFonts w:hint="eastAsia" w:ascii="宋体" w:hAnsi="宋体" w:eastAsia="宋体" w:cs="宋体"/>
                <w:color w:val="000000"/>
                <w:szCs w:val="22"/>
              </w:rPr>
              <w:t>。</w:t>
            </w:r>
          </w:p>
          <w:p w14:paraId="08FBC965">
            <w:pPr>
              <w:spacing w:line="250" w:lineRule="exact"/>
              <w:contextualSpacing/>
              <w:rPr>
                <w:rFonts w:ascii="宋体" w:hAnsi="宋体" w:eastAsia="宋体" w:cs="宋体"/>
                <w:color w:val="000000"/>
                <w:szCs w:val="22"/>
              </w:rPr>
            </w:pPr>
            <w:r>
              <w:rPr>
                <w:rFonts w:hint="eastAsia" w:ascii="宋体" w:hAnsi="宋体" w:eastAsia="宋体" w:cs="宋体"/>
                <w:color w:val="000000"/>
                <w:szCs w:val="22"/>
                <w:highlight w:val="yellow"/>
              </w:rPr>
              <w:t>19</w:t>
            </w:r>
            <w:r>
              <w:rPr>
                <w:rFonts w:ascii="宋体" w:hAnsi="宋体" w:eastAsia="宋体" w:cs="宋体"/>
                <w:color w:val="000000"/>
                <w:szCs w:val="22"/>
                <w:highlight w:val="yellow"/>
              </w:rPr>
              <w:t>、为保证所使用设备的供应链安全，设备厂商应具备由中国安全技术防范认证中心颁发的重要行业供应商网络安全服务认证证书。</w:t>
            </w:r>
          </w:p>
          <w:p w14:paraId="07F0709B">
            <w:pPr>
              <w:spacing w:line="250" w:lineRule="exact"/>
              <w:contextualSpacing/>
              <w:rPr>
                <w:rFonts w:ascii="宋体" w:hAnsi="宋体" w:eastAsia="宋体" w:cs="宋体"/>
                <w:color w:val="000000"/>
                <w:szCs w:val="22"/>
              </w:rPr>
            </w:pPr>
            <w:r>
              <w:rPr>
                <w:rFonts w:ascii="宋体" w:hAnsi="宋体" w:eastAsia="宋体" w:cs="宋体"/>
                <w:color w:val="000000"/>
                <w:szCs w:val="22"/>
              </w:rPr>
              <w:t>2</w:t>
            </w:r>
            <w:r>
              <w:rPr>
                <w:rFonts w:hint="eastAsia" w:ascii="宋体" w:hAnsi="宋体" w:eastAsia="宋体" w:cs="宋体"/>
                <w:color w:val="000000"/>
                <w:szCs w:val="22"/>
              </w:rPr>
              <w:t>0</w:t>
            </w:r>
            <w:r>
              <w:rPr>
                <w:rFonts w:ascii="宋体" w:hAnsi="宋体" w:eastAsia="宋体" w:cs="宋体"/>
                <w:color w:val="000000"/>
                <w:szCs w:val="22"/>
              </w:rPr>
              <w:t>、入侵防护模块，含入侵防护特征库的五年升级</w:t>
            </w:r>
            <w:r>
              <w:rPr>
                <w:rFonts w:hint="eastAsia" w:ascii="宋体" w:hAnsi="宋体" w:eastAsia="宋体" w:cs="宋体"/>
                <w:color w:val="000000"/>
                <w:szCs w:val="22"/>
              </w:rPr>
              <w:t>。</w:t>
            </w:r>
          </w:p>
          <w:p w14:paraId="225BDAA6">
            <w:pPr>
              <w:spacing w:line="250" w:lineRule="exact"/>
              <w:contextualSpacing/>
              <w:rPr>
                <w:rFonts w:ascii="宋体" w:hAnsi="宋体" w:eastAsia="宋体" w:cs="宋体"/>
                <w:color w:val="000000"/>
                <w:szCs w:val="22"/>
              </w:rPr>
            </w:pPr>
            <w:r>
              <w:rPr>
                <w:rFonts w:ascii="宋体" w:hAnsi="宋体" w:eastAsia="宋体" w:cs="宋体"/>
                <w:color w:val="000000"/>
                <w:szCs w:val="22"/>
              </w:rPr>
              <w:t>2</w:t>
            </w:r>
            <w:r>
              <w:rPr>
                <w:rFonts w:hint="eastAsia" w:ascii="宋体" w:hAnsi="宋体" w:eastAsia="宋体" w:cs="宋体"/>
                <w:color w:val="000000"/>
                <w:szCs w:val="22"/>
              </w:rPr>
              <w:t>1</w:t>
            </w:r>
            <w:r>
              <w:rPr>
                <w:rFonts w:ascii="宋体" w:hAnsi="宋体" w:eastAsia="宋体" w:cs="宋体"/>
                <w:color w:val="000000"/>
                <w:szCs w:val="22"/>
              </w:rPr>
              <w:t>、防病毒模块，含病毒特征库五年升级</w:t>
            </w:r>
            <w:r>
              <w:rPr>
                <w:rFonts w:hint="eastAsia" w:ascii="宋体" w:hAnsi="宋体" w:eastAsia="宋体" w:cs="宋体"/>
                <w:color w:val="000000"/>
                <w:szCs w:val="22"/>
              </w:rPr>
              <w:t>。</w:t>
            </w:r>
          </w:p>
          <w:p w14:paraId="54ACC55A">
            <w:pPr>
              <w:spacing w:line="250" w:lineRule="exact"/>
              <w:contextualSpacing/>
              <w:rPr>
                <w:rFonts w:ascii="宋体" w:hAnsi="宋体" w:eastAsia="宋体" w:cs="宋体"/>
                <w:color w:val="000000"/>
                <w:szCs w:val="22"/>
              </w:rPr>
            </w:pPr>
            <w:r>
              <w:rPr>
                <w:rFonts w:ascii="宋体" w:hAnsi="宋体" w:eastAsia="宋体" w:cs="宋体"/>
                <w:color w:val="000000"/>
                <w:szCs w:val="22"/>
              </w:rPr>
              <w:t>2</w:t>
            </w:r>
            <w:r>
              <w:rPr>
                <w:rFonts w:hint="eastAsia" w:ascii="宋体" w:hAnsi="宋体" w:eastAsia="宋体" w:cs="宋体"/>
                <w:color w:val="000000"/>
                <w:szCs w:val="22"/>
              </w:rPr>
              <w:t>2</w:t>
            </w:r>
            <w:r>
              <w:rPr>
                <w:rFonts w:ascii="宋体" w:hAnsi="宋体" w:eastAsia="宋体" w:cs="宋体"/>
                <w:color w:val="000000"/>
                <w:szCs w:val="22"/>
              </w:rPr>
              <w:t>、10GE多模模块≥4个</w:t>
            </w:r>
          </w:p>
        </w:tc>
        <w:tc>
          <w:tcPr>
            <w:tcW w:w="3796" w:type="dxa"/>
            <w:vMerge w:val="restart"/>
            <w:tcBorders>
              <w:top w:val="nil"/>
              <w:left w:val="nil"/>
              <w:bottom w:val="single" w:color="000000" w:sz="4" w:space="0"/>
              <w:right w:val="single" w:color="000000" w:sz="4" w:space="0"/>
            </w:tcBorders>
            <w:vAlign w:val="center"/>
          </w:tcPr>
          <w:p w14:paraId="2C021034">
            <w:pPr>
              <w:rPr>
                <w:rFonts w:ascii="宋体" w:hAnsi="宋体" w:eastAsia="宋体" w:cs="宋体"/>
                <w:color w:val="000000"/>
                <w:kern w:val="0"/>
                <w:szCs w:val="22"/>
                <w:lang w:bidi="ar"/>
              </w:rPr>
            </w:pPr>
            <w:r>
              <w:rPr>
                <w:rFonts w:ascii="宋体" w:hAnsi="宋体" w:eastAsia="宋体" w:cs="宋体"/>
                <w:color w:val="000000"/>
                <w:kern w:val="0"/>
                <w:szCs w:val="22"/>
                <w:lang w:bidi="ar"/>
              </w:rPr>
              <w:t>提供 7×24 小</w:t>
            </w:r>
            <w:bookmarkStart w:id="0" w:name="_GoBack"/>
            <w:bookmarkEnd w:id="0"/>
            <w:r>
              <w:rPr>
                <w:rFonts w:ascii="宋体" w:hAnsi="宋体" w:eastAsia="宋体" w:cs="宋体"/>
                <w:color w:val="000000"/>
                <w:kern w:val="0"/>
                <w:szCs w:val="22"/>
                <w:lang w:bidi="ar"/>
              </w:rPr>
              <w:t>时服务热线支持</w:t>
            </w:r>
          </w:p>
          <w:p w14:paraId="436E6E95">
            <w:pPr>
              <w:rPr>
                <w:rFonts w:ascii="宋体" w:hAnsi="宋体" w:eastAsia="宋体" w:cs="宋体"/>
                <w:color w:val="000000"/>
                <w:kern w:val="0"/>
                <w:szCs w:val="22"/>
                <w:lang w:bidi="ar"/>
              </w:rPr>
            </w:pPr>
            <w:r>
              <w:rPr>
                <w:rFonts w:hint="eastAsia" w:ascii="宋体" w:hAnsi="宋体" w:eastAsia="宋体" w:cs="宋体"/>
                <w:color w:val="000000"/>
                <w:kern w:val="0"/>
                <w:szCs w:val="22"/>
                <w:lang w:bidi="ar"/>
              </w:rPr>
              <w:t>提供</w:t>
            </w:r>
            <w:r>
              <w:rPr>
                <w:rFonts w:ascii="宋体" w:hAnsi="宋体" w:eastAsia="宋体" w:cs="宋体"/>
                <w:color w:val="000000"/>
                <w:kern w:val="0"/>
                <w:szCs w:val="22"/>
                <w:lang w:bidi="ar"/>
              </w:rPr>
              <w:t>5年</w:t>
            </w:r>
            <w:r>
              <w:rPr>
                <w:rFonts w:hint="eastAsia" w:ascii="宋体" w:hAnsi="宋体" w:eastAsia="宋体" w:cs="宋体"/>
                <w:color w:val="000000"/>
                <w:kern w:val="0"/>
                <w:szCs w:val="22"/>
                <w:lang w:bidi="ar"/>
              </w:rPr>
              <w:t>原厂</w:t>
            </w:r>
            <w:r>
              <w:rPr>
                <w:rFonts w:ascii="宋体" w:hAnsi="宋体" w:eastAsia="宋体" w:cs="宋体"/>
                <w:color w:val="000000"/>
                <w:kern w:val="0"/>
                <w:szCs w:val="22"/>
                <w:lang w:bidi="ar"/>
              </w:rPr>
              <w:t>免费维保服务，含每年不少于四次的设备详细巡检</w:t>
            </w:r>
          </w:p>
          <w:p w14:paraId="03E24B9D">
            <w:pPr>
              <w:rPr>
                <w:rFonts w:ascii="宋体" w:hAnsi="宋体" w:eastAsia="宋体" w:cs="宋体"/>
                <w:color w:val="000000"/>
                <w:kern w:val="0"/>
                <w:szCs w:val="22"/>
                <w:lang w:bidi="ar"/>
              </w:rPr>
            </w:pPr>
            <w:r>
              <w:rPr>
                <w:rFonts w:ascii="宋体" w:hAnsi="宋体" w:eastAsia="宋体" w:cs="宋体"/>
                <w:color w:val="000000"/>
                <w:kern w:val="0"/>
                <w:szCs w:val="22"/>
                <w:lang w:bidi="ar"/>
              </w:rPr>
              <w:t>若因设备本身问题导致业务中断，</w:t>
            </w:r>
            <w:r>
              <w:rPr>
                <w:rFonts w:hint="eastAsia" w:ascii="宋体" w:hAnsi="宋体" w:eastAsia="宋体" w:cs="宋体"/>
                <w:color w:val="000000"/>
                <w:kern w:val="0"/>
                <w:szCs w:val="22"/>
                <w:lang w:bidi="ar"/>
              </w:rPr>
              <w:t>需</w:t>
            </w:r>
            <w:r>
              <w:rPr>
                <w:rFonts w:ascii="宋体" w:hAnsi="宋体" w:eastAsia="宋体" w:cs="宋体"/>
                <w:color w:val="000000"/>
                <w:kern w:val="0"/>
                <w:szCs w:val="22"/>
                <w:lang w:bidi="ar"/>
              </w:rPr>
              <w:t>确保 8 小时内完成故障修复</w:t>
            </w:r>
          </w:p>
          <w:p w14:paraId="6E125FDC">
            <w:pPr>
              <w:rPr>
                <w:rFonts w:ascii="宋体" w:hAnsi="宋体" w:eastAsia="宋体" w:cs="宋体"/>
                <w:color w:val="000000"/>
                <w:kern w:val="0"/>
                <w:szCs w:val="22"/>
                <w:lang w:bidi="ar"/>
              </w:rPr>
            </w:pPr>
            <w:r>
              <w:rPr>
                <w:rFonts w:hint="eastAsia" w:ascii="宋体" w:hAnsi="宋体" w:eastAsia="宋体" w:cs="宋体"/>
                <w:color w:val="000000"/>
                <w:kern w:val="0"/>
                <w:szCs w:val="22"/>
                <w:lang w:bidi="ar"/>
              </w:rPr>
              <w:t>本次采购要求防火墙</w:t>
            </w:r>
            <w:r>
              <w:rPr>
                <w:rFonts w:ascii="宋体" w:hAnsi="宋体" w:eastAsia="宋体" w:cs="宋体"/>
                <w:color w:val="000000"/>
                <w:kern w:val="0"/>
                <w:szCs w:val="22"/>
                <w:lang w:bidi="ar"/>
              </w:rPr>
              <w:t>1与防火墙2</w:t>
            </w:r>
            <w:r>
              <w:rPr>
                <w:rFonts w:hint="eastAsia" w:ascii="宋体" w:hAnsi="宋体" w:eastAsia="宋体" w:cs="宋体"/>
                <w:color w:val="000000"/>
                <w:kern w:val="0"/>
                <w:szCs w:val="22"/>
                <w:lang w:bidi="ar"/>
              </w:rPr>
              <w:t>品牌异构</w:t>
            </w:r>
          </w:p>
        </w:tc>
      </w:tr>
      <w:tr w14:paraId="697BB440">
        <w:tblPrEx>
          <w:tblCellMar>
            <w:top w:w="0" w:type="dxa"/>
            <w:left w:w="108" w:type="dxa"/>
            <w:bottom w:w="0" w:type="dxa"/>
            <w:right w:w="108" w:type="dxa"/>
          </w:tblCellMar>
        </w:tblPrEx>
        <w:trPr>
          <w:trHeight w:val="784" w:hRule="atLeast"/>
          <w:jc w:val="center"/>
        </w:trPr>
        <w:tc>
          <w:tcPr>
            <w:tcW w:w="604" w:type="dxa"/>
            <w:vMerge w:val="continue"/>
            <w:tcBorders>
              <w:top w:val="nil"/>
              <w:left w:val="single" w:color="000000" w:sz="4" w:space="0"/>
              <w:bottom w:val="single" w:color="000000" w:sz="4" w:space="0"/>
              <w:right w:val="single" w:color="000000" w:sz="4" w:space="0"/>
            </w:tcBorders>
            <w:vAlign w:val="center"/>
          </w:tcPr>
          <w:p w14:paraId="098D4B74">
            <w:pPr>
              <w:widowControl/>
              <w:rPr>
                <w:rFonts w:ascii="宋体" w:hAnsi="宋体" w:eastAsia="宋体" w:cs="宋体"/>
                <w:b/>
                <w:bCs/>
                <w:color w:val="000000"/>
                <w:sz w:val="32"/>
                <w:szCs w:val="32"/>
              </w:rPr>
            </w:pPr>
          </w:p>
        </w:tc>
        <w:tc>
          <w:tcPr>
            <w:tcW w:w="6484" w:type="dxa"/>
            <w:vMerge w:val="continue"/>
            <w:tcBorders>
              <w:top w:val="nil"/>
              <w:left w:val="nil"/>
              <w:bottom w:val="single" w:color="000000" w:sz="4" w:space="0"/>
              <w:right w:val="single" w:color="000000" w:sz="4" w:space="0"/>
            </w:tcBorders>
            <w:vAlign w:val="center"/>
          </w:tcPr>
          <w:p w14:paraId="27395F20">
            <w:pPr>
              <w:widowControl/>
              <w:rPr>
                <w:rFonts w:ascii="宋体" w:hAnsi="宋体" w:eastAsia="宋体" w:cs="宋体"/>
                <w:color w:val="000000"/>
                <w:sz w:val="24"/>
              </w:rPr>
            </w:pPr>
          </w:p>
        </w:tc>
        <w:tc>
          <w:tcPr>
            <w:tcW w:w="3796" w:type="dxa"/>
            <w:vMerge w:val="continue"/>
            <w:tcBorders>
              <w:top w:val="nil"/>
              <w:left w:val="nil"/>
              <w:bottom w:val="single" w:color="000000" w:sz="4" w:space="0"/>
              <w:right w:val="single" w:color="000000" w:sz="4" w:space="0"/>
            </w:tcBorders>
            <w:vAlign w:val="center"/>
          </w:tcPr>
          <w:p w14:paraId="46DFE038">
            <w:pPr>
              <w:widowControl/>
              <w:rPr>
                <w:rFonts w:ascii="宋体" w:hAnsi="宋体" w:eastAsia="宋体" w:cs="宋体"/>
                <w:color w:val="000000"/>
                <w:sz w:val="24"/>
              </w:rPr>
            </w:pPr>
          </w:p>
        </w:tc>
      </w:tr>
      <w:tr w14:paraId="52E04685">
        <w:tblPrEx>
          <w:tblCellMar>
            <w:top w:w="0" w:type="dxa"/>
            <w:left w:w="108" w:type="dxa"/>
            <w:bottom w:w="0" w:type="dxa"/>
            <w:right w:w="108" w:type="dxa"/>
          </w:tblCellMar>
        </w:tblPrEx>
        <w:trPr>
          <w:trHeight w:val="784" w:hRule="atLeast"/>
          <w:jc w:val="center"/>
        </w:trPr>
        <w:tc>
          <w:tcPr>
            <w:tcW w:w="604" w:type="dxa"/>
            <w:vMerge w:val="continue"/>
            <w:tcBorders>
              <w:top w:val="nil"/>
              <w:left w:val="single" w:color="000000" w:sz="4" w:space="0"/>
              <w:bottom w:val="single" w:color="000000" w:sz="4" w:space="0"/>
              <w:right w:val="single" w:color="000000" w:sz="4" w:space="0"/>
            </w:tcBorders>
            <w:vAlign w:val="center"/>
          </w:tcPr>
          <w:p w14:paraId="097A1775">
            <w:pPr>
              <w:widowControl/>
              <w:rPr>
                <w:rFonts w:ascii="宋体" w:hAnsi="宋体" w:eastAsia="宋体" w:cs="宋体"/>
                <w:b/>
                <w:bCs/>
                <w:color w:val="000000"/>
                <w:sz w:val="32"/>
                <w:szCs w:val="32"/>
              </w:rPr>
            </w:pPr>
          </w:p>
        </w:tc>
        <w:tc>
          <w:tcPr>
            <w:tcW w:w="6484" w:type="dxa"/>
            <w:vMerge w:val="continue"/>
            <w:tcBorders>
              <w:top w:val="nil"/>
              <w:left w:val="nil"/>
              <w:bottom w:val="single" w:color="000000" w:sz="4" w:space="0"/>
              <w:right w:val="single" w:color="000000" w:sz="4" w:space="0"/>
            </w:tcBorders>
            <w:vAlign w:val="center"/>
          </w:tcPr>
          <w:p w14:paraId="1D95149C">
            <w:pPr>
              <w:widowControl/>
              <w:rPr>
                <w:rFonts w:ascii="宋体" w:hAnsi="宋体" w:eastAsia="宋体" w:cs="宋体"/>
                <w:color w:val="000000"/>
                <w:sz w:val="24"/>
              </w:rPr>
            </w:pPr>
          </w:p>
        </w:tc>
        <w:tc>
          <w:tcPr>
            <w:tcW w:w="3796" w:type="dxa"/>
            <w:vMerge w:val="continue"/>
            <w:tcBorders>
              <w:top w:val="nil"/>
              <w:left w:val="nil"/>
              <w:bottom w:val="single" w:color="000000" w:sz="4" w:space="0"/>
              <w:right w:val="single" w:color="000000" w:sz="4" w:space="0"/>
            </w:tcBorders>
            <w:vAlign w:val="center"/>
          </w:tcPr>
          <w:p w14:paraId="42842C83">
            <w:pPr>
              <w:widowControl/>
              <w:rPr>
                <w:rFonts w:ascii="宋体" w:hAnsi="宋体" w:eastAsia="宋体" w:cs="宋体"/>
                <w:color w:val="000000"/>
                <w:sz w:val="24"/>
              </w:rPr>
            </w:pPr>
          </w:p>
        </w:tc>
      </w:tr>
      <w:tr w14:paraId="0AF91C37">
        <w:tblPrEx>
          <w:tblCellMar>
            <w:top w:w="0" w:type="dxa"/>
            <w:left w:w="108" w:type="dxa"/>
            <w:bottom w:w="0" w:type="dxa"/>
            <w:right w:w="108" w:type="dxa"/>
          </w:tblCellMar>
        </w:tblPrEx>
        <w:trPr>
          <w:trHeight w:val="784" w:hRule="atLeast"/>
          <w:jc w:val="center"/>
        </w:trPr>
        <w:tc>
          <w:tcPr>
            <w:tcW w:w="604" w:type="dxa"/>
            <w:vMerge w:val="continue"/>
            <w:tcBorders>
              <w:top w:val="nil"/>
              <w:left w:val="single" w:color="000000" w:sz="4" w:space="0"/>
              <w:bottom w:val="single" w:color="000000" w:sz="4" w:space="0"/>
              <w:right w:val="single" w:color="000000" w:sz="4" w:space="0"/>
            </w:tcBorders>
            <w:vAlign w:val="center"/>
          </w:tcPr>
          <w:p w14:paraId="707D735F">
            <w:pPr>
              <w:widowControl/>
              <w:rPr>
                <w:rFonts w:ascii="宋体" w:hAnsi="宋体" w:eastAsia="宋体" w:cs="宋体"/>
                <w:b/>
                <w:bCs/>
                <w:color w:val="000000"/>
                <w:sz w:val="32"/>
                <w:szCs w:val="32"/>
              </w:rPr>
            </w:pPr>
          </w:p>
        </w:tc>
        <w:tc>
          <w:tcPr>
            <w:tcW w:w="6484" w:type="dxa"/>
            <w:vMerge w:val="continue"/>
            <w:tcBorders>
              <w:top w:val="nil"/>
              <w:left w:val="nil"/>
              <w:bottom w:val="single" w:color="000000" w:sz="4" w:space="0"/>
              <w:right w:val="single" w:color="000000" w:sz="4" w:space="0"/>
            </w:tcBorders>
            <w:vAlign w:val="center"/>
          </w:tcPr>
          <w:p w14:paraId="25AD1960">
            <w:pPr>
              <w:widowControl/>
              <w:rPr>
                <w:rFonts w:ascii="宋体" w:hAnsi="宋体" w:eastAsia="宋体" w:cs="宋体"/>
                <w:color w:val="000000"/>
                <w:sz w:val="24"/>
              </w:rPr>
            </w:pPr>
          </w:p>
        </w:tc>
        <w:tc>
          <w:tcPr>
            <w:tcW w:w="3796" w:type="dxa"/>
            <w:vMerge w:val="continue"/>
            <w:tcBorders>
              <w:top w:val="nil"/>
              <w:left w:val="nil"/>
              <w:bottom w:val="single" w:color="000000" w:sz="4" w:space="0"/>
              <w:right w:val="single" w:color="000000" w:sz="4" w:space="0"/>
            </w:tcBorders>
            <w:vAlign w:val="center"/>
          </w:tcPr>
          <w:p w14:paraId="63FBF1C6">
            <w:pPr>
              <w:widowControl/>
              <w:rPr>
                <w:rFonts w:ascii="宋体" w:hAnsi="宋体" w:eastAsia="宋体" w:cs="宋体"/>
                <w:color w:val="000000"/>
                <w:sz w:val="24"/>
              </w:rPr>
            </w:pPr>
          </w:p>
        </w:tc>
      </w:tr>
      <w:tr w14:paraId="3966D017">
        <w:tblPrEx>
          <w:tblCellMar>
            <w:top w:w="0" w:type="dxa"/>
            <w:left w:w="108" w:type="dxa"/>
            <w:bottom w:w="0" w:type="dxa"/>
            <w:right w:w="108" w:type="dxa"/>
          </w:tblCellMar>
        </w:tblPrEx>
        <w:trPr>
          <w:trHeight w:val="784" w:hRule="atLeast"/>
          <w:jc w:val="center"/>
        </w:trPr>
        <w:tc>
          <w:tcPr>
            <w:tcW w:w="604" w:type="dxa"/>
            <w:vMerge w:val="continue"/>
            <w:tcBorders>
              <w:top w:val="nil"/>
              <w:left w:val="single" w:color="000000" w:sz="4" w:space="0"/>
              <w:bottom w:val="single" w:color="000000" w:sz="4" w:space="0"/>
              <w:right w:val="single" w:color="000000" w:sz="4" w:space="0"/>
            </w:tcBorders>
            <w:vAlign w:val="center"/>
          </w:tcPr>
          <w:p w14:paraId="47251BB4">
            <w:pPr>
              <w:widowControl/>
              <w:rPr>
                <w:rFonts w:ascii="宋体" w:hAnsi="宋体" w:eastAsia="宋体" w:cs="宋体"/>
                <w:b/>
                <w:bCs/>
                <w:color w:val="000000"/>
                <w:sz w:val="32"/>
                <w:szCs w:val="32"/>
              </w:rPr>
            </w:pPr>
          </w:p>
        </w:tc>
        <w:tc>
          <w:tcPr>
            <w:tcW w:w="6484" w:type="dxa"/>
            <w:vMerge w:val="continue"/>
            <w:tcBorders>
              <w:top w:val="nil"/>
              <w:left w:val="nil"/>
              <w:bottom w:val="single" w:color="000000" w:sz="4" w:space="0"/>
              <w:right w:val="single" w:color="000000" w:sz="4" w:space="0"/>
            </w:tcBorders>
            <w:vAlign w:val="center"/>
          </w:tcPr>
          <w:p w14:paraId="1D51339B">
            <w:pPr>
              <w:widowControl/>
              <w:rPr>
                <w:rFonts w:ascii="宋体" w:hAnsi="宋体" w:eastAsia="宋体" w:cs="宋体"/>
                <w:color w:val="000000"/>
                <w:sz w:val="24"/>
              </w:rPr>
            </w:pPr>
          </w:p>
        </w:tc>
        <w:tc>
          <w:tcPr>
            <w:tcW w:w="3796" w:type="dxa"/>
            <w:vMerge w:val="continue"/>
            <w:tcBorders>
              <w:top w:val="nil"/>
              <w:left w:val="nil"/>
              <w:bottom w:val="single" w:color="000000" w:sz="4" w:space="0"/>
              <w:right w:val="single" w:color="000000" w:sz="4" w:space="0"/>
            </w:tcBorders>
            <w:vAlign w:val="center"/>
          </w:tcPr>
          <w:p w14:paraId="557DF69C">
            <w:pPr>
              <w:widowControl/>
              <w:rPr>
                <w:rFonts w:ascii="宋体" w:hAnsi="宋体" w:eastAsia="宋体" w:cs="宋体"/>
                <w:color w:val="000000"/>
                <w:sz w:val="24"/>
              </w:rPr>
            </w:pPr>
          </w:p>
        </w:tc>
      </w:tr>
      <w:tr w14:paraId="4B9471F9">
        <w:tblPrEx>
          <w:tblCellMar>
            <w:top w:w="0" w:type="dxa"/>
            <w:left w:w="108" w:type="dxa"/>
            <w:bottom w:w="0" w:type="dxa"/>
            <w:right w:w="108" w:type="dxa"/>
          </w:tblCellMar>
        </w:tblPrEx>
        <w:trPr>
          <w:trHeight w:val="784" w:hRule="atLeast"/>
          <w:jc w:val="center"/>
        </w:trPr>
        <w:tc>
          <w:tcPr>
            <w:tcW w:w="604" w:type="dxa"/>
            <w:vMerge w:val="continue"/>
            <w:tcBorders>
              <w:top w:val="nil"/>
              <w:left w:val="single" w:color="000000" w:sz="4" w:space="0"/>
              <w:bottom w:val="single" w:color="000000" w:sz="4" w:space="0"/>
              <w:right w:val="single" w:color="000000" w:sz="4" w:space="0"/>
            </w:tcBorders>
            <w:vAlign w:val="center"/>
          </w:tcPr>
          <w:p w14:paraId="50F8A052">
            <w:pPr>
              <w:widowControl/>
              <w:rPr>
                <w:rFonts w:ascii="宋体" w:hAnsi="宋体" w:eastAsia="宋体" w:cs="宋体"/>
                <w:b/>
                <w:bCs/>
                <w:color w:val="000000"/>
                <w:sz w:val="32"/>
                <w:szCs w:val="32"/>
              </w:rPr>
            </w:pPr>
          </w:p>
        </w:tc>
        <w:tc>
          <w:tcPr>
            <w:tcW w:w="6484" w:type="dxa"/>
            <w:vMerge w:val="continue"/>
            <w:tcBorders>
              <w:top w:val="nil"/>
              <w:left w:val="nil"/>
              <w:bottom w:val="single" w:color="000000" w:sz="4" w:space="0"/>
              <w:right w:val="single" w:color="000000" w:sz="4" w:space="0"/>
            </w:tcBorders>
            <w:vAlign w:val="center"/>
          </w:tcPr>
          <w:p w14:paraId="393FCC20">
            <w:pPr>
              <w:widowControl/>
              <w:rPr>
                <w:rFonts w:ascii="宋体" w:hAnsi="宋体" w:eastAsia="宋体" w:cs="宋体"/>
                <w:color w:val="000000"/>
                <w:sz w:val="24"/>
              </w:rPr>
            </w:pPr>
          </w:p>
        </w:tc>
        <w:tc>
          <w:tcPr>
            <w:tcW w:w="3796" w:type="dxa"/>
            <w:vMerge w:val="continue"/>
            <w:tcBorders>
              <w:top w:val="nil"/>
              <w:left w:val="nil"/>
              <w:bottom w:val="single" w:color="000000" w:sz="4" w:space="0"/>
              <w:right w:val="single" w:color="000000" w:sz="4" w:space="0"/>
            </w:tcBorders>
            <w:vAlign w:val="center"/>
          </w:tcPr>
          <w:p w14:paraId="04832821">
            <w:pPr>
              <w:widowControl/>
              <w:rPr>
                <w:rFonts w:ascii="宋体" w:hAnsi="宋体" w:eastAsia="宋体" w:cs="宋体"/>
                <w:color w:val="000000"/>
                <w:sz w:val="24"/>
              </w:rPr>
            </w:pPr>
          </w:p>
        </w:tc>
      </w:tr>
      <w:tr w14:paraId="07C6E53E">
        <w:tblPrEx>
          <w:tblCellMar>
            <w:top w:w="0" w:type="dxa"/>
            <w:left w:w="108" w:type="dxa"/>
            <w:bottom w:w="0" w:type="dxa"/>
            <w:right w:w="108" w:type="dxa"/>
          </w:tblCellMar>
        </w:tblPrEx>
        <w:trPr>
          <w:trHeight w:val="784" w:hRule="atLeast"/>
          <w:jc w:val="center"/>
        </w:trPr>
        <w:tc>
          <w:tcPr>
            <w:tcW w:w="604" w:type="dxa"/>
            <w:vMerge w:val="continue"/>
            <w:tcBorders>
              <w:top w:val="nil"/>
              <w:left w:val="single" w:color="000000" w:sz="4" w:space="0"/>
              <w:bottom w:val="single" w:color="000000" w:sz="4" w:space="0"/>
              <w:right w:val="single" w:color="000000" w:sz="4" w:space="0"/>
            </w:tcBorders>
            <w:vAlign w:val="center"/>
          </w:tcPr>
          <w:p w14:paraId="5F89D150">
            <w:pPr>
              <w:widowControl/>
              <w:rPr>
                <w:rFonts w:ascii="宋体" w:hAnsi="宋体" w:eastAsia="宋体" w:cs="宋体"/>
                <w:b/>
                <w:bCs/>
                <w:color w:val="000000"/>
                <w:sz w:val="32"/>
                <w:szCs w:val="32"/>
              </w:rPr>
            </w:pPr>
          </w:p>
        </w:tc>
        <w:tc>
          <w:tcPr>
            <w:tcW w:w="6484" w:type="dxa"/>
            <w:vMerge w:val="continue"/>
            <w:tcBorders>
              <w:top w:val="nil"/>
              <w:left w:val="nil"/>
              <w:bottom w:val="single" w:color="000000" w:sz="4" w:space="0"/>
              <w:right w:val="single" w:color="000000" w:sz="4" w:space="0"/>
            </w:tcBorders>
            <w:vAlign w:val="center"/>
          </w:tcPr>
          <w:p w14:paraId="4E227225">
            <w:pPr>
              <w:widowControl/>
              <w:rPr>
                <w:rFonts w:ascii="宋体" w:hAnsi="宋体" w:eastAsia="宋体" w:cs="宋体"/>
                <w:color w:val="000000"/>
                <w:sz w:val="24"/>
              </w:rPr>
            </w:pPr>
          </w:p>
        </w:tc>
        <w:tc>
          <w:tcPr>
            <w:tcW w:w="3796" w:type="dxa"/>
            <w:vMerge w:val="continue"/>
            <w:tcBorders>
              <w:top w:val="nil"/>
              <w:left w:val="nil"/>
              <w:bottom w:val="single" w:color="000000" w:sz="4" w:space="0"/>
              <w:right w:val="single" w:color="000000" w:sz="4" w:space="0"/>
            </w:tcBorders>
            <w:vAlign w:val="center"/>
          </w:tcPr>
          <w:p w14:paraId="4003AEE7">
            <w:pPr>
              <w:widowControl/>
              <w:rPr>
                <w:rFonts w:ascii="宋体" w:hAnsi="宋体" w:eastAsia="宋体" w:cs="宋体"/>
                <w:color w:val="000000"/>
                <w:sz w:val="24"/>
              </w:rPr>
            </w:pPr>
          </w:p>
        </w:tc>
      </w:tr>
      <w:tr w14:paraId="5CD22D02">
        <w:tblPrEx>
          <w:tblCellMar>
            <w:top w:w="0" w:type="dxa"/>
            <w:left w:w="108" w:type="dxa"/>
            <w:bottom w:w="0" w:type="dxa"/>
            <w:right w:w="108" w:type="dxa"/>
          </w:tblCellMar>
        </w:tblPrEx>
        <w:trPr>
          <w:trHeight w:val="784" w:hRule="atLeast"/>
          <w:jc w:val="center"/>
        </w:trPr>
        <w:tc>
          <w:tcPr>
            <w:tcW w:w="604" w:type="dxa"/>
            <w:vMerge w:val="continue"/>
            <w:tcBorders>
              <w:top w:val="nil"/>
              <w:left w:val="single" w:color="000000" w:sz="4" w:space="0"/>
              <w:bottom w:val="single" w:color="000000" w:sz="4" w:space="0"/>
              <w:right w:val="single" w:color="000000" w:sz="4" w:space="0"/>
            </w:tcBorders>
            <w:vAlign w:val="center"/>
          </w:tcPr>
          <w:p w14:paraId="7FC9A730">
            <w:pPr>
              <w:widowControl/>
              <w:rPr>
                <w:rFonts w:ascii="宋体" w:hAnsi="宋体" w:eastAsia="宋体" w:cs="宋体"/>
                <w:b/>
                <w:bCs/>
                <w:color w:val="000000"/>
                <w:sz w:val="32"/>
                <w:szCs w:val="32"/>
              </w:rPr>
            </w:pPr>
          </w:p>
        </w:tc>
        <w:tc>
          <w:tcPr>
            <w:tcW w:w="6484" w:type="dxa"/>
            <w:vMerge w:val="continue"/>
            <w:tcBorders>
              <w:top w:val="nil"/>
              <w:left w:val="nil"/>
              <w:bottom w:val="single" w:color="000000" w:sz="4" w:space="0"/>
              <w:right w:val="single" w:color="000000" w:sz="4" w:space="0"/>
            </w:tcBorders>
            <w:vAlign w:val="center"/>
          </w:tcPr>
          <w:p w14:paraId="11BEDBE1">
            <w:pPr>
              <w:widowControl/>
              <w:rPr>
                <w:rFonts w:ascii="宋体" w:hAnsi="宋体" w:eastAsia="宋体" w:cs="宋体"/>
                <w:color w:val="000000"/>
                <w:sz w:val="24"/>
              </w:rPr>
            </w:pPr>
          </w:p>
        </w:tc>
        <w:tc>
          <w:tcPr>
            <w:tcW w:w="3796" w:type="dxa"/>
            <w:vMerge w:val="continue"/>
            <w:tcBorders>
              <w:top w:val="nil"/>
              <w:left w:val="nil"/>
              <w:bottom w:val="single" w:color="000000" w:sz="4" w:space="0"/>
              <w:right w:val="single" w:color="000000" w:sz="4" w:space="0"/>
            </w:tcBorders>
            <w:vAlign w:val="center"/>
          </w:tcPr>
          <w:p w14:paraId="7B4867C6">
            <w:pPr>
              <w:widowControl/>
              <w:rPr>
                <w:rFonts w:ascii="宋体" w:hAnsi="宋体" w:eastAsia="宋体" w:cs="宋体"/>
                <w:color w:val="000000"/>
                <w:sz w:val="24"/>
              </w:rPr>
            </w:pPr>
          </w:p>
        </w:tc>
      </w:tr>
      <w:tr w14:paraId="5DAD2F07">
        <w:tblPrEx>
          <w:tblCellMar>
            <w:top w:w="0" w:type="dxa"/>
            <w:left w:w="108" w:type="dxa"/>
            <w:bottom w:w="0" w:type="dxa"/>
            <w:right w:w="108" w:type="dxa"/>
          </w:tblCellMar>
        </w:tblPrEx>
        <w:trPr>
          <w:trHeight w:val="4168" w:hRule="atLeast"/>
          <w:jc w:val="center"/>
        </w:trPr>
        <w:tc>
          <w:tcPr>
            <w:tcW w:w="604" w:type="dxa"/>
            <w:vMerge w:val="continue"/>
            <w:tcBorders>
              <w:top w:val="nil"/>
              <w:left w:val="single" w:color="000000" w:sz="4" w:space="0"/>
              <w:bottom w:val="single" w:color="000000" w:sz="4" w:space="0"/>
              <w:right w:val="single" w:color="000000" w:sz="4" w:space="0"/>
            </w:tcBorders>
            <w:vAlign w:val="center"/>
          </w:tcPr>
          <w:p w14:paraId="6AAC28C4">
            <w:pPr>
              <w:widowControl/>
              <w:rPr>
                <w:rFonts w:ascii="宋体" w:hAnsi="宋体" w:eastAsia="宋体" w:cs="宋体"/>
                <w:b/>
                <w:bCs/>
                <w:color w:val="000000"/>
                <w:sz w:val="32"/>
                <w:szCs w:val="32"/>
              </w:rPr>
            </w:pPr>
          </w:p>
        </w:tc>
        <w:tc>
          <w:tcPr>
            <w:tcW w:w="6484" w:type="dxa"/>
            <w:vMerge w:val="continue"/>
            <w:tcBorders>
              <w:top w:val="nil"/>
              <w:left w:val="nil"/>
              <w:bottom w:val="single" w:color="000000" w:sz="4" w:space="0"/>
              <w:right w:val="single" w:color="000000" w:sz="4" w:space="0"/>
            </w:tcBorders>
            <w:vAlign w:val="center"/>
          </w:tcPr>
          <w:p w14:paraId="0EA79873">
            <w:pPr>
              <w:widowControl/>
              <w:rPr>
                <w:rFonts w:ascii="宋体" w:hAnsi="宋体" w:eastAsia="宋体" w:cs="宋体"/>
                <w:color w:val="000000"/>
                <w:sz w:val="24"/>
              </w:rPr>
            </w:pPr>
          </w:p>
        </w:tc>
        <w:tc>
          <w:tcPr>
            <w:tcW w:w="3796" w:type="dxa"/>
            <w:vMerge w:val="continue"/>
            <w:tcBorders>
              <w:top w:val="nil"/>
              <w:left w:val="nil"/>
              <w:bottom w:val="single" w:color="000000" w:sz="4" w:space="0"/>
              <w:right w:val="single" w:color="000000" w:sz="4" w:space="0"/>
            </w:tcBorders>
            <w:vAlign w:val="center"/>
          </w:tcPr>
          <w:p w14:paraId="61166128">
            <w:pPr>
              <w:widowControl/>
              <w:rPr>
                <w:rFonts w:ascii="宋体" w:hAnsi="宋体" w:eastAsia="宋体" w:cs="宋体"/>
                <w:color w:val="000000"/>
                <w:sz w:val="24"/>
              </w:rPr>
            </w:pPr>
          </w:p>
        </w:tc>
      </w:tr>
    </w:tbl>
    <w:p w14:paraId="763B4C38">
      <w:pPr>
        <w:rPr>
          <w:rFonts w:ascii="宋体" w:hAnsi="宋体" w:eastAsia="宋体"/>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BE5"/>
    <w:rsid w:val="00013C6B"/>
    <w:rsid w:val="00044FC9"/>
    <w:rsid w:val="00052008"/>
    <w:rsid w:val="000748BC"/>
    <w:rsid w:val="00082FB2"/>
    <w:rsid w:val="000B2AD2"/>
    <w:rsid w:val="000B583F"/>
    <w:rsid w:val="000C423C"/>
    <w:rsid w:val="000E4F91"/>
    <w:rsid w:val="000F5168"/>
    <w:rsid w:val="0010039A"/>
    <w:rsid w:val="00144436"/>
    <w:rsid w:val="00174AF0"/>
    <w:rsid w:val="001A35B8"/>
    <w:rsid w:val="001A7CE9"/>
    <w:rsid w:val="001C4E28"/>
    <w:rsid w:val="001E3570"/>
    <w:rsid w:val="001F5E03"/>
    <w:rsid w:val="001F733C"/>
    <w:rsid w:val="00203426"/>
    <w:rsid w:val="00247534"/>
    <w:rsid w:val="00255955"/>
    <w:rsid w:val="00277AED"/>
    <w:rsid w:val="00283075"/>
    <w:rsid w:val="002C49DF"/>
    <w:rsid w:val="002E736A"/>
    <w:rsid w:val="002F2A01"/>
    <w:rsid w:val="002F3175"/>
    <w:rsid w:val="002F7E83"/>
    <w:rsid w:val="00302975"/>
    <w:rsid w:val="00320BE5"/>
    <w:rsid w:val="0033241B"/>
    <w:rsid w:val="00394D5F"/>
    <w:rsid w:val="003B5593"/>
    <w:rsid w:val="003E2424"/>
    <w:rsid w:val="003E49C0"/>
    <w:rsid w:val="003E5124"/>
    <w:rsid w:val="003F01E1"/>
    <w:rsid w:val="0041139C"/>
    <w:rsid w:val="004B466F"/>
    <w:rsid w:val="004C0A19"/>
    <w:rsid w:val="004C6322"/>
    <w:rsid w:val="00502C01"/>
    <w:rsid w:val="005215B1"/>
    <w:rsid w:val="005275B4"/>
    <w:rsid w:val="005347BE"/>
    <w:rsid w:val="00536B25"/>
    <w:rsid w:val="00556C6B"/>
    <w:rsid w:val="005612CB"/>
    <w:rsid w:val="0056502B"/>
    <w:rsid w:val="0057793A"/>
    <w:rsid w:val="00585E50"/>
    <w:rsid w:val="005A0280"/>
    <w:rsid w:val="005A7C99"/>
    <w:rsid w:val="005B3B5E"/>
    <w:rsid w:val="005E18B1"/>
    <w:rsid w:val="005E4692"/>
    <w:rsid w:val="005F3251"/>
    <w:rsid w:val="00615DE5"/>
    <w:rsid w:val="00657991"/>
    <w:rsid w:val="0066512C"/>
    <w:rsid w:val="00686FC8"/>
    <w:rsid w:val="0068788B"/>
    <w:rsid w:val="006B61E4"/>
    <w:rsid w:val="006D477F"/>
    <w:rsid w:val="006E614B"/>
    <w:rsid w:val="006F345C"/>
    <w:rsid w:val="0071151E"/>
    <w:rsid w:val="00713DBC"/>
    <w:rsid w:val="00756075"/>
    <w:rsid w:val="007C08B9"/>
    <w:rsid w:val="007C727C"/>
    <w:rsid w:val="00803DBE"/>
    <w:rsid w:val="0080458D"/>
    <w:rsid w:val="008579B6"/>
    <w:rsid w:val="008700F4"/>
    <w:rsid w:val="00877756"/>
    <w:rsid w:val="008A38D6"/>
    <w:rsid w:val="008B479C"/>
    <w:rsid w:val="008B6DBB"/>
    <w:rsid w:val="008B7E44"/>
    <w:rsid w:val="008D36CB"/>
    <w:rsid w:val="008D7F56"/>
    <w:rsid w:val="008F08F4"/>
    <w:rsid w:val="00903A84"/>
    <w:rsid w:val="009069FF"/>
    <w:rsid w:val="00913D41"/>
    <w:rsid w:val="00915669"/>
    <w:rsid w:val="00920CE5"/>
    <w:rsid w:val="00922489"/>
    <w:rsid w:val="0093327B"/>
    <w:rsid w:val="00941F0A"/>
    <w:rsid w:val="00952ABF"/>
    <w:rsid w:val="00955361"/>
    <w:rsid w:val="00965C5C"/>
    <w:rsid w:val="009735FC"/>
    <w:rsid w:val="009A6DEE"/>
    <w:rsid w:val="009B04F7"/>
    <w:rsid w:val="009F1BA0"/>
    <w:rsid w:val="00A059D1"/>
    <w:rsid w:val="00A13503"/>
    <w:rsid w:val="00A546AD"/>
    <w:rsid w:val="00A71B82"/>
    <w:rsid w:val="00A77187"/>
    <w:rsid w:val="00A818F5"/>
    <w:rsid w:val="00B044E1"/>
    <w:rsid w:val="00B13B21"/>
    <w:rsid w:val="00B216F0"/>
    <w:rsid w:val="00B34665"/>
    <w:rsid w:val="00B57D95"/>
    <w:rsid w:val="00B6168A"/>
    <w:rsid w:val="00B65F83"/>
    <w:rsid w:val="00B75515"/>
    <w:rsid w:val="00BA4604"/>
    <w:rsid w:val="00BA6FC9"/>
    <w:rsid w:val="00BB26C3"/>
    <w:rsid w:val="00BF3E81"/>
    <w:rsid w:val="00C059F6"/>
    <w:rsid w:val="00C33F9D"/>
    <w:rsid w:val="00C44666"/>
    <w:rsid w:val="00C6091F"/>
    <w:rsid w:val="00C634B1"/>
    <w:rsid w:val="00C66B1C"/>
    <w:rsid w:val="00C869C9"/>
    <w:rsid w:val="00C973DD"/>
    <w:rsid w:val="00CB25FD"/>
    <w:rsid w:val="00CB6BD7"/>
    <w:rsid w:val="00CC033C"/>
    <w:rsid w:val="00CC3D68"/>
    <w:rsid w:val="00CC7467"/>
    <w:rsid w:val="00CD5C39"/>
    <w:rsid w:val="00CE4DB8"/>
    <w:rsid w:val="00D37050"/>
    <w:rsid w:val="00D410A5"/>
    <w:rsid w:val="00D5331D"/>
    <w:rsid w:val="00D66848"/>
    <w:rsid w:val="00DA5088"/>
    <w:rsid w:val="00DD7508"/>
    <w:rsid w:val="00DE675F"/>
    <w:rsid w:val="00DE7D84"/>
    <w:rsid w:val="00EB5AE8"/>
    <w:rsid w:val="00EE299E"/>
    <w:rsid w:val="00EE78BD"/>
    <w:rsid w:val="00EF5291"/>
    <w:rsid w:val="00F045AF"/>
    <w:rsid w:val="00F23676"/>
    <w:rsid w:val="00F420ED"/>
    <w:rsid w:val="00F45216"/>
    <w:rsid w:val="00F51330"/>
    <w:rsid w:val="00F87392"/>
    <w:rsid w:val="00FC5EC5"/>
    <w:rsid w:val="00FC6263"/>
    <w:rsid w:val="00FD6EDE"/>
    <w:rsid w:val="00FE22B7"/>
    <w:rsid w:val="00FF75B6"/>
    <w:rsid w:val="0261662C"/>
    <w:rsid w:val="04E35A1E"/>
    <w:rsid w:val="06AF5E93"/>
    <w:rsid w:val="07133C6D"/>
    <w:rsid w:val="0AEC6CAF"/>
    <w:rsid w:val="0D642363"/>
    <w:rsid w:val="0D957AD2"/>
    <w:rsid w:val="1158509E"/>
    <w:rsid w:val="14A66FC8"/>
    <w:rsid w:val="15C727F2"/>
    <w:rsid w:val="1695469E"/>
    <w:rsid w:val="169B761A"/>
    <w:rsid w:val="1A2975D8"/>
    <w:rsid w:val="1E4627A5"/>
    <w:rsid w:val="20566C4C"/>
    <w:rsid w:val="207B66B3"/>
    <w:rsid w:val="20983709"/>
    <w:rsid w:val="22630C33"/>
    <w:rsid w:val="27AC5CEC"/>
    <w:rsid w:val="2CC87124"/>
    <w:rsid w:val="2F285C58"/>
    <w:rsid w:val="30004E27"/>
    <w:rsid w:val="3089479E"/>
    <w:rsid w:val="30F878AC"/>
    <w:rsid w:val="34014CC9"/>
    <w:rsid w:val="37C16C4A"/>
    <w:rsid w:val="38112ED5"/>
    <w:rsid w:val="3BAC628D"/>
    <w:rsid w:val="3BB32D4D"/>
    <w:rsid w:val="3C2105FF"/>
    <w:rsid w:val="440C2998"/>
    <w:rsid w:val="49B95336"/>
    <w:rsid w:val="4A1B043B"/>
    <w:rsid w:val="4F2002A2"/>
    <w:rsid w:val="4F7E1A0A"/>
    <w:rsid w:val="51E81D8E"/>
    <w:rsid w:val="53373E0C"/>
    <w:rsid w:val="538452A3"/>
    <w:rsid w:val="55C37BD9"/>
    <w:rsid w:val="57B27F05"/>
    <w:rsid w:val="5D107BA8"/>
    <w:rsid w:val="5F8959EF"/>
    <w:rsid w:val="60522285"/>
    <w:rsid w:val="60F5640B"/>
    <w:rsid w:val="68737B53"/>
    <w:rsid w:val="6B403D4E"/>
    <w:rsid w:val="6B985938"/>
    <w:rsid w:val="6D45389E"/>
    <w:rsid w:val="6DCF760B"/>
    <w:rsid w:val="6EDC6339"/>
    <w:rsid w:val="723C1C0B"/>
    <w:rsid w:val="729F3877"/>
    <w:rsid w:val="732D105C"/>
    <w:rsid w:val="7434641A"/>
    <w:rsid w:val="79420C91"/>
    <w:rsid w:val="79E43161"/>
    <w:rsid w:val="7AE2272C"/>
    <w:rsid w:val="7B3E36DA"/>
    <w:rsid w:val="7D511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1"/>
    <w:unhideWhenUsed/>
    <w:qFormat/>
    <w:uiPriority w:val="9"/>
    <w:pPr>
      <w:keepNext/>
      <w:keepLines/>
      <w:spacing w:before="260" w:after="260" w:line="416" w:lineRule="auto"/>
      <w:jc w:val="both"/>
      <w:outlineLvl w:val="2"/>
    </w:pPr>
    <w:rPr>
      <w:b/>
      <w:bCs/>
      <w:sz w:val="32"/>
      <w:szCs w:val="32"/>
      <w14:ligatures w14:val="none"/>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6"/>
    <w:semiHidden/>
    <w:unhideWhenUsed/>
    <w:qFormat/>
    <w:uiPriority w:val="99"/>
    <w:pPr>
      <w:spacing w:after="0" w:line="240" w:lineRule="auto"/>
    </w:pPr>
    <w:rPr>
      <w:sz w:val="18"/>
      <w:szCs w:val="18"/>
    </w:rPr>
  </w:style>
  <w:style w:type="paragraph" w:styleId="6">
    <w:name w:val="footer"/>
    <w:basedOn w:val="1"/>
    <w:link w:val="15"/>
    <w:unhideWhenUsed/>
    <w:qFormat/>
    <w:uiPriority w:val="99"/>
    <w:pPr>
      <w:tabs>
        <w:tab w:val="center" w:pos="4153"/>
        <w:tab w:val="right" w:pos="8306"/>
      </w:tabs>
      <w:snapToGrid w:val="0"/>
      <w:spacing w:line="240" w:lineRule="auto"/>
    </w:pPr>
    <w:rPr>
      <w:sz w:val="18"/>
      <w:szCs w:val="18"/>
    </w:rPr>
  </w:style>
  <w:style w:type="paragraph" w:styleId="7">
    <w:name w:val="header"/>
    <w:basedOn w:val="1"/>
    <w:link w:val="14"/>
    <w:unhideWhenUsed/>
    <w:qFormat/>
    <w:uiPriority w:val="99"/>
    <w:pPr>
      <w:tabs>
        <w:tab w:val="center" w:pos="4153"/>
        <w:tab w:val="right" w:pos="8306"/>
      </w:tabs>
      <w:snapToGrid w:val="0"/>
      <w:spacing w:line="240" w:lineRule="auto"/>
      <w:jc w:val="center"/>
    </w:pPr>
    <w:rPr>
      <w:sz w:val="18"/>
      <w:szCs w:val="18"/>
    </w:rPr>
  </w:style>
  <w:style w:type="paragraph" w:styleId="10">
    <w:name w:val="List Paragraph"/>
    <w:basedOn w:val="1"/>
    <w:qFormat/>
    <w:uiPriority w:val="34"/>
    <w:pPr>
      <w:ind w:firstLine="420" w:firstLineChars="200"/>
    </w:pPr>
  </w:style>
  <w:style w:type="character" w:customStyle="1" w:styleId="11">
    <w:name w:val="标题 3 字符"/>
    <w:basedOn w:val="9"/>
    <w:link w:val="4"/>
    <w:qFormat/>
    <w:uiPriority w:val="9"/>
    <w:rPr>
      <w:b/>
      <w:bCs/>
      <w:sz w:val="32"/>
      <w:szCs w:val="32"/>
      <w14:ligatures w14:val="none"/>
    </w:rPr>
  </w:style>
  <w:style w:type="character" w:customStyle="1" w:styleId="12">
    <w:name w:val="标题 2 字符"/>
    <w:basedOn w:val="9"/>
    <w:link w:val="3"/>
    <w:qFormat/>
    <w:uiPriority w:val="9"/>
    <w:rPr>
      <w:rFonts w:asciiTheme="majorHAnsi" w:hAnsiTheme="majorHAnsi" w:eastAsiaTheme="majorEastAsia" w:cstheme="majorBidi"/>
      <w:b/>
      <w:bCs/>
      <w:sz w:val="32"/>
      <w:szCs w:val="32"/>
    </w:rPr>
  </w:style>
  <w:style w:type="character" w:customStyle="1" w:styleId="13">
    <w:name w:val="标题 1 字符"/>
    <w:basedOn w:val="9"/>
    <w:link w:val="2"/>
    <w:qFormat/>
    <w:uiPriority w:val="9"/>
    <w:rPr>
      <w:b/>
      <w:bCs/>
      <w:kern w:val="44"/>
      <w:sz w:val="44"/>
      <w:szCs w:val="44"/>
    </w:rPr>
  </w:style>
  <w:style w:type="character" w:customStyle="1" w:styleId="14">
    <w:name w:val="页眉 字符"/>
    <w:basedOn w:val="9"/>
    <w:link w:val="7"/>
    <w:qFormat/>
    <w:uiPriority w:val="99"/>
    <w:rPr>
      <w:sz w:val="18"/>
      <w:szCs w:val="18"/>
    </w:rPr>
  </w:style>
  <w:style w:type="character" w:customStyle="1" w:styleId="15">
    <w:name w:val="页脚 字符"/>
    <w:basedOn w:val="9"/>
    <w:link w:val="6"/>
    <w:qFormat/>
    <w:uiPriority w:val="99"/>
    <w:rPr>
      <w:sz w:val="18"/>
      <w:szCs w:val="18"/>
    </w:rPr>
  </w:style>
  <w:style w:type="character" w:customStyle="1" w:styleId="16">
    <w:name w:val="批注框文本 字符"/>
    <w:basedOn w:val="9"/>
    <w:link w:val="5"/>
    <w:semiHidden/>
    <w:qFormat/>
    <w:uiPriority w:val="99"/>
    <w:rPr>
      <w:kern w:val="2"/>
      <w:sz w:val="18"/>
      <w:szCs w:val="18"/>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42E6A-3222-4076-8A4B-385F3B16E580}">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1775</Words>
  <Characters>2038</Characters>
  <Lines>15</Lines>
  <Paragraphs>4</Paragraphs>
  <TotalTime>16</TotalTime>
  <ScaleCrop>false</ScaleCrop>
  <LinksUpToDate>false</LinksUpToDate>
  <CharactersWithSpaces>2076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2025-11-28T01:16:00Z</dcterms:created>
  <dc:creator>chen liang</dc:creator>
  <cp:lastModifiedBy>小奥很</cp:lastModifiedBy>
  <cp:lastPrinted>2026-08-05T07:45:00Z</cp:lastPrinted>
  <dcterms:modified xsi:type="dcterms:W3CDTF">2026-10-26T01:28:37Z</dcterms:modified>
  <cp:revision>504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eyJoZGlkIjoiODU0NzdiYWVlMWEzYjc1ZWY1Nzc2N2VlYmY5ZGY5ZjEiLCJ1c2VySWQiOiI2MzU3OTM1MzQifQ==</vt:lpwstr>
  </property>
  <property fmtid="{D5CDD505-2E9C-101B-9397-08002B2CF9AE}" pid="3" name="KSOProductBuildVer">
    <vt:lpwstr>2052-12.1.0.28505</vt:lpwstr>
  </property>
  <property fmtid="{D5CDD505-2E9C-101B-9397-08002B2CF9AE}" pid="4" name="ICV">
    <vt:lpwstr>FC8D1121E5294FB2A6998C6FC99F4413_13</vt:lpwstr>
  </property>
</Properties>
</file>