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7A7CA2">
      <w:pPr>
        <w:ind w:firstLine="562"/>
        <w:jc w:val="center"/>
        <w:rPr>
          <w:rFonts w:ascii="宋体" w:hAnsi="宋体" w:cs="宋体"/>
          <w:b/>
          <w:bCs/>
          <w:sz w:val="36"/>
          <w:szCs w:val="36"/>
        </w:rPr>
      </w:pPr>
      <w:bookmarkStart w:id="0" w:name="_Toc17388"/>
      <w:bookmarkStart w:id="1" w:name="_Toc5305567"/>
      <w:bookmarkStart w:id="2" w:name="_Toc22879"/>
      <w:r>
        <w:rPr>
          <w:rFonts w:hint="eastAsia" w:ascii="宋体" w:hAnsi="宋体" w:cs="宋体"/>
          <w:b/>
          <w:bCs/>
          <w:sz w:val="36"/>
          <w:szCs w:val="36"/>
        </w:rPr>
        <w:t>中国医学科学院肿瘤医院廊坊院区</w:t>
      </w:r>
    </w:p>
    <w:p w14:paraId="01AC80D1">
      <w:pPr>
        <w:ind w:firstLine="562"/>
        <w:jc w:val="center"/>
        <w:rPr>
          <w:rFonts w:ascii="宋体" w:hAnsi="宋体" w:cs="宋体"/>
          <w:b/>
          <w:bCs/>
          <w:sz w:val="36"/>
          <w:szCs w:val="36"/>
        </w:rPr>
      </w:pPr>
      <w:r>
        <w:rPr>
          <w:rFonts w:hint="eastAsia" w:ascii="宋体" w:hAnsi="宋体" w:cs="宋体"/>
          <w:b/>
          <w:bCs/>
          <w:sz w:val="36"/>
          <w:szCs w:val="36"/>
        </w:rPr>
        <w:t>数据安全风险评估服务技术需求</w:t>
      </w:r>
      <w:bookmarkEnd w:id="0"/>
      <w:bookmarkEnd w:id="1"/>
      <w:bookmarkEnd w:id="2"/>
      <w:bookmarkStart w:id="3" w:name="_Hlt42540685"/>
      <w:bookmarkEnd w:id="3"/>
      <w:bookmarkStart w:id="4" w:name="_Hlt42539152"/>
      <w:bookmarkEnd w:id="4"/>
      <w:bookmarkStart w:id="5" w:name="_Hlt42618675"/>
      <w:bookmarkEnd w:id="5"/>
    </w:p>
    <w:p w14:paraId="6AFE8D49">
      <w:pPr>
        <w:pStyle w:val="2"/>
        <w:spacing w:before="0" w:after="0" w:line="360" w:lineRule="auto"/>
        <w:ind w:firstLine="482"/>
        <w:rPr>
          <w:rFonts w:ascii="宋体" w:hAnsi="宋体" w:cs="宋体"/>
          <w:color w:val="000000"/>
          <w:kern w:val="2"/>
          <w:sz w:val="24"/>
          <w:szCs w:val="24"/>
        </w:rPr>
      </w:pPr>
      <w:bookmarkStart w:id="6" w:name="_Toc446571463"/>
      <w:r>
        <w:rPr>
          <w:rFonts w:hint="eastAsia" w:ascii="宋体" w:hAnsi="宋体" w:cs="宋体"/>
          <w:color w:val="000000"/>
          <w:kern w:val="2"/>
          <w:sz w:val="24"/>
          <w:szCs w:val="24"/>
        </w:rPr>
        <w:t>1</w:t>
      </w:r>
      <w:bookmarkEnd w:id="6"/>
      <w:r>
        <w:rPr>
          <w:rFonts w:hint="eastAsia" w:ascii="宋体" w:hAnsi="宋体" w:cs="宋体"/>
          <w:color w:val="000000"/>
          <w:kern w:val="2"/>
          <w:sz w:val="24"/>
          <w:szCs w:val="24"/>
        </w:rPr>
        <w:t>.具体采购内容</w:t>
      </w:r>
    </w:p>
    <w:tbl>
      <w:tblPr>
        <w:tblStyle w:val="3"/>
        <w:tblW w:w="4999" w:type="pct"/>
        <w:tblInd w:w="0" w:type="dxa"/>
        <w:tblLayout w:type="autofit"/>
        <w:tblCellMar>
          <w:top w:w="0" w:type="dxa"/>
          <w:left w:w="108" w:type="dxa"/>
          <w:bottom w:w="0" w:type="dxa"/>
          <w:right w:w="108" w:type="dxa"/>
        </w:tblCellMar>
      </w:tblPr>
      <w:tblGrid>
        <w:gridCol w:w="1195"/>
        <w:gridCol w:w="2810"/>
        <w:gridCol w:w="3762"/>
        <w:gridCol w:w="753"/>
      </w:tblGrid>
      <w:tr w14:paraId="002606A2">
        <w:tblPrEx>
          <w:tblCellMar>
            <w:top w:w="0" w:type="dxa"/>
            <w:left w:w="108" w:type="dxa"/>
            <w:bottom w:w="0" w:type="dxa"/>
            <w:right w:w="108" w:type="dxa"/>
          </w:tblCellMar>
        </w:tblPrEx>
        <w:trPr>
          <w:trHeight w:val="280" w:hRule="atLeast"/>
        </w:trPr>
        <w:tc>
          <w:tcPr>
            <w:tcW w:w="701" w:type="pct"/>
            <w:tcBorders>
              <w:top w:val="single" w:color="000000" w:sz="4" w:space="0"/>
              <w:left w:val="single" w:color="000000" w:sz="4" w:space="0"/>
              <w:bottom w:val="single" w:color="000000" w:sz="4" w:space="0"/>
              <w:right w:val="single" w:color="000000" w:sz="4" w:space="0"/>
            </w:tcBorders>
            <w:noWrap/>
            <w:vAlign w:val="center"/>
          </w:tcPr>
          <w:p w14:paraId="78D75139">
            <w:pPr>
              <w:widowControl/>
              <w:spacing w:line="360" w:lineRule="auto"/>
              <w:ind w:firstLine="0" w:firstLineChars="0"/>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序号</w:t>
            </w:r>
          </w:p>
        </w:tc>
        <w:tc>
          <w:tcPr>
            <w:tcW w:w="1649" w:type="pct"/>
            <w:tcBorders>
              <w:top w:val="single" w:color="000000" w:sz="4" w:space="0"/>
              <w:left w:val="single" w:color="000000" w:sz="4" w:space="0"/>
              <w:bottom w:val="single" w:color="000000" w:sz="4" w:space="0"/>
              <w:right w:val="single" w:color="000000" w:sz="4" w:space="0"/>
            </w:tcBorders>
            <w:noWrap/>
            <w:vAlign w:val="center"/>
          </w:tcPr>
          <w:p w14:paraId="008627F6">
            <w:pPr>
              <w:widowControl/>
              <w:spacing w:line="360" w:lineRule="auto"/>
              <w:ind w:firstLine="0" w:firstLineChars="0"/>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服务项目</w:t>
            </w:r>
          </w:p>
        </w:tc>
        <w:tc>
          <w:tcPr>
            <w:tcW w:w="2208" w:type="pct"/>
            <w:tcBorders>
              <w:top w:val="single" w:color="000000" w:sz="4" w:space="0"/>
              <w:left w:val="single" w:color="000000" w:sz="4" w:space="0"/>
              <w:bottom w:val="single" w:color="000000" w:sz="4" w:space="0"/>
              <w:right w:val="single" w:color="000000" w:sz="4" w:space="0"/>
            </w:tcBorders>
            <w:noWrap/>
            <w:vAlign w:val="center"/>
          </w:tcPr>
          <w:p w14:paraId="1A0EA59F">
            <w:pPr>
              <w:widowControl/>
              <w:spacing w:line="360" w:lineRule="auto"/>
              <w:ind w:firstLine="0" w:firstLineChars="0"/>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服务内容</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21D1E528">
            <w:pPr>
              <w:widowControl/>
              <w:spacing w:line="360" w:lineRule="auto"/>
              <w:ind w:firstLine="0" w:firstLineChars="0"/>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备注</w:t>
            </w:r>
          </w:p>
        </w:tc>
      </w:tr>
      <w:tr w14:paraId="633C4738">
        <w:tblPrEx>
          <w:tblCellMar>
            <w:top w:w="0" w:type="dxa"/>
            <w:left w:w="108" w:type="dxa"/>
            <w:bottom w:w="0" w:type="dxa"/>
            <w:right w:w="108" w:type="dxa"/>
          </w:tblCellMar>
        </w:tblPrEx>
        <w:trPr>
          <w:trHeight w:val="840" w:hRule="atLeast"/>
        </w:trPr>
        <w:tc>
          <w:tcPr>
            <w:tcW w:w="701" w:type="pct"/>
            <w:tcBorders>
              <w:top w:val="single" w:color="000000" w:sz="4" w:space="0"/>
              <w:left w:val="single" w:color="000000" w:sz="4" w:space="0"/>
              <w:bottom w:val="single" w:color="000000" w:sz="4" w:space="0"/>
              <w:right w:val="single" w:color="000000" w:sz="4" w:space="0"/>
            </w:tcBorders>
            <w:noWrap/>
            <w:vAlign w:val="center"/>
          </w:tcPr>
          <w:p w14:paraId="5EE07F92">
            <w:pPr>
              <w:widowControl/>
              <w:spacing w:line="360" w:lineRule="auto"/>
              <w:ind w:firstLine="0" w:firstLineChars="0"/>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1</w:t>
            </w:r>
          </w:p>
        </w:tc>
        <w:tc>
          <w:tcPr>
            <w:tcW w:w="1649" w:type="pct"/>
            <w:tcBorders>
              <w:top w:val="single" w:color="000000" w:sz="4" w:space="0"/>
              <w:left w:val="single" w:color="000000" w:sz="4" w:space="0"/>
              <w:bottom w:val="single" w:color="000000" w:sz="4" w:space="0"/>
              <w:right w:val="single" w:color="000000" w:sz="4" w:space="0"/>
            </w:tcBorders>
            <w:noWrap/>
            <w:vAlign w:val="center"/>
          </w:tcPr>
          <w:p w14:paraId="5037EA00">
            <w:pPr>
              <w:widowControl/>
              <w:spacing w:line="360" w:lineRule="auto"/>
              <w:ind w:firstLine="0" w:firstLineChars="0"/>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数据资产盘点</w:t>
            </w:r>
          </w:p>
        </w:tc>
        <w:tc>
          <w:tcPr>
            <w:tcW w:w="2208" w:type="pct"/>
            <w:tcBorders>
              <w:top w:val="single" w:color="000000" w:sz="4" w:space="0"/>
              <w:left w:val="single" w:color="000000" w:sz="4" w:space="0"/>
              <w:bottom w:val="single" w:color="000000" w:sz="4" w:space="0"/>
              <w:right w:val="single" w:color="000000" w:sz="4" w:space="0"/>
            </w:tcBorders>
            <w:vAlign w:val="center"/>
          </w:tcPr>
          <w:p w14:paraId="2C52E8C9">
            <w:pPr>
              <w:widowControl/>
              <w:spacing w:line="360" w:lineRule="auto"/>
              <w:ind w:firstLine="0" w:firstLineChars="0"/>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完成医院应用系统数据盘点工作，梳理应用系统的部数据表、各表数据字段信息，输出《系统数据资产清单》</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45442B73">
            <w:pPr>
              <w:widowControl/>
              <w:spacing w:line="360" w:lineRule="auto"/>
              <w:ind w:firstLine="0" w:firstLineChars="0"/>
              <w:jc w:val="center"/>
              <w:rPr>
                <w:rFonts w:ascii="宋体" w:hAnsi="宋体" w:eastAsia="宋体" w:cs="宋体"/>
                <w:color w:val="000000"/>
                <w:sz w:val="24"/>
                <w:szCs w:val="24"/>
              </w:rPr>
            </w:pPr>
          </w:p>
        </w:tc>
      </w:tr>
      <w:tr w14:paraId="514BC840">
        <w:tblPrEx>
          <w:tblCellMar>
            <w:top w:w="0" w:type="dxa"/>
            <w:left w:w="108" w:type="dxa"/>
            <w:bottom w:w="0" w:type="dxa"/>
            <w:right w:w="108" w:type="dxa"/>
          </w:tblCellMar>
        </w:tblPrEx>
        <w:trPr>
          <w:trHeight w:val="1120" w:hRule="atLeast"/>
        </w:trPr>
        <w:tc>
          <w:tcPr>
            <w:tcW w:w="701" w:type="pct"/>
            <w:tcBorders>
              <w:top w:val="single" w:color="000000" w:sz="4" w:space="0"/>
              <w:left w:val="single" w:color="000000" w:sz="4" w:space="0"/>
              <w:bottom w:val="single" w:color="000000" w:sz="4" w:space="0"/>
              <w:right w:val="single" w:color="000000" w:sz="4" w:space="0"/>
            </w:tcBorders>
            <w:noWrap/>
            <w:vAlign w:val="center"/>
          </w:tcPr>
          <w:p w14:paraId="133BB80D">
            <w:pPr>
              <w:widowControl/>
              <w:spacing w:line="360" w:lineRule="auto"/>
              <w:ind w:firstLine="0" w:firstLineChars="0"/>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2</w:t>
            </w:r>
          </w:p>
        </w:tc>
        <w:tc>
          <w:tcPr>
            <w:tcW w:w="1649" w:type="pct"/>
            <w:tcBorders>
              <w:top w:val="single" w:color="000000" w:sz="4" w:space="0"/>
              <w:left w:val="single" w:color="000000" w:sz="4" w:space="0"/>
              <w:bottom w:val="single" w:color="000000" w:sz="4" w:space="0"/>
              <w:right w:val="single" w:color="000000" w:sz="4" w:space="0"/>
            </w:tcBorders>
            <w:noWrap/>
            <w:vAlign w:val="center"/>
          </w:tcPr>
          <w:p w14:paraId="0233DAF9">
            <w:pPr>
              <w:widowControl/>
              <w:spacing w:line="360" w:lineRule="auto"/>
              <w:ind w:firstLine="0" w:firstLineChars="0"/>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数据分级分类</w:t>
            </w:r>
          </w:p>
        </w:tc>
        <w:tc>
          <w:tcPr>
            <w:tcW w:w="2208" w:type="pct"/>
            <w:tcBorders>
              <w:top w:val="single" w:color="000000" w:sz="4" w:space="0"/>
              <w:left w:val="single" w:color="000000" w:sz="4" w:space="0"/>
              <w:bottom w:val="single" w:color="000000" w:sz="4" w:space="0"/>
              <w:right w:val="single" w:color="000000" w:sz="4" w:space="0"/>
            </w:tcBorders>
            <w:vAlign w:val="center"/>
          </w:tcPr>
          <w:p w14:paraId="75378EBF">
            <w:pPr>
              <w:widowControl/>
              <w:spacing w:line="360" w:lineRule="auto"/>
              <w:ind w:firstLine="0" w:firstLineChars="0"/>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依据国家、地方及医疗卫生行业现行标准，结合本院实际业务运行模式制定专属数据分类分级规则，依托分类分级规则对应用系统开展分类分级工作</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7247C2FF">
            <w:pPr>
              <w:widowControl/>
              <w:spacing w:line="360" w:lineRule="auto"/>
              <w:ind w:firstLine="0" w:firstLineChars="0"/>
              <w:jc w:val="center"/>
              <w:rPr>
                <w:rFonts w:ascii="宋体" w:hAnsi="宋体" w:eastAsia="宋体" w:cs="宋体"/>
                <w:color w:val="000000"/>
                <w:sz w:val="24"/>
                <w:szCs w:val="24"/>
              </w:rPr>
            </w:pPr>
          </w:p>
        </w:tc>
      </w:tr>
      <w:tr w14:paraId="733C56A8">
        <w:tblPrEx>
          <w:tblCellMar>
            <w:top w:w="0" w:type="dxa"/>
            <w:left w:w="108" w:type="dxa"/>
            <w:bottom w:w="0" w:type="dxa"/>
            <w:right w:w="108" w:type="dxa"/>
          </w:tblCellMar>
        </w:tblPrEx>
        <w:trPr>
          <w:trHeight w:val="560" w:hRule="atLeast"/>
        </w:trPr>
        <w:tc>
          <w:tcPr>
            <w:tcW w:w="701" w:type="pct"/>
            <w:tcBorders>
              <w:top w:val="single" w:color="000000" w:sz="4" w:space="0"/>
              <w:left w:val="single" w:color="000000" w:sz="4" w:space="0"/>
              <w:bottom w:val="single" w:color="000000" w:sz="4" w:space="0"/>
              <w:right w:val="single" w:color="000000" w:sz="4" w:space="0"/>
            </w:tcBorders>
            <w:noWrap/>
            <w:vAlign w:val="center"/>
          </w:tcPr>
          <w:p w14:paraId="45F389B9">
            <w:pPr>
              <w:widowControl/>
              <w:spacing w:line="360" w:lineRule="auto"/>
              <w:ind w:firstLine="0" w:firstLineChars="0"/>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3</w:t>
            </w:r>
          </w:p>
        </w:tc>
        <w:tc>
          <w:tcPr>
            <w:tcW w:w="1649" w:type="pct"/>
            <w:tcBorders>
              <w:top w:val="single" w:color="000000" w:sz="4" w:space="0"/>
              <w:left w:val="single" w:color="000000" w:sz="4" w:space="0"/>
              <w:bottom w:val="single" w:color="000000" w:sz="4" w:space="0"/>
              <w:right w:val="single" w:color="000000" w:sz="4" w:space="0"/>
            </w:tcBorders>
            <w:noWrap/>
            <w:vAlign w:val="center"/>
          </w:tcPr>
          <w:p w14:paraId="62EF96C8">
            <w:pPr>
              <w:widowControl/>
              <w:spacing w:line="360" w:lineRule="auto"/>
              <w:ind w:firstLine="0" w:firstLineChars="0"/>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编制核心/重要数据目录</w:t>
            </w:r>
          </w:p>
        </w:tc>
        <w:tc>
          <w:tcPr>
            <w:tcW w:w="2208" w:type="pct"/>
            <w:tcBorders>
              <w:top w:val="single" w:color="000000" w:sz="4" w:space="0"/>
              <w:left w:val="single" w:color="000000" w:sz="4" w:space="0"/>
              <w:bottom w:val="single" w:color="000000" w:sz="4" w:space="0"/>
              <w:right w:val="single" w:color="000000" w:sz="4" w:space="0"/>
            </w:tcBorders>
            <w:vAlign w:val="center"/>
          </w:tcPr>
          <w:p w14:paraId="6EDC48AE">
            <w:pPr>
              <w:widowControl/>
              <w:spacing w:line="360" w:lineRule="auto"/>
              <w:ind w:firstLine="0" w:firstLineChars="0"/>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根据分级分类结果识别核心/重要数据，输出《核心/重要数据目录》</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002494F0">
            <w:pPr>
              <w:widowControl/>
              <w:spacing w:line="360" w:lineRule="auto"/>
              <w:ind w:firstLine="0" w:firstLineChars="0"/>
              <w:jc w:val="center"/>
              <w:rPr>
                <w:rFonts w:ascii="宋体" w:hAnsi="宋体" w:eastAsia="宋体" w:cs="宋体"/>
                <w:color w:val="000000"/>
                <w:sz w:val="24"/>
                <w:szCs w:val="24"/>
              </w:rPr>
            </w:pPr>
          </w:p>
        </w:tc>
      </w:tr>
      <w:tr w14:paraId="0081AA57">
        <w:tblPrEx>
          <w:tblCellMar>
            <w:top w:w="0" w:type="dxa"/>
            <w:left w:w="108" w:type="dxa"/>
            <w:bottom w:w="0" w:type="dxa"/>
            <w:right w:w="108" w:type="dxa"/>
          </w:tblCellMar>
        </w:tblPrEx>
        <w:trPr>
          <w:trHeight w:val="1120" w:hRule="atLeast"/>
        </w:trPr>
        <w:tc>
          <w:tcPr>
            <w:tcW w:w="701" w:type="pct"/>
            <w:tcBorders>
              <w:top w:val="single" w:color="000000" w:sz="4" w:space="0"/>
              <w:left w:val="single" w:color="000000" w:sz="4" w:space="0"/>
              <w:bottom w:val="single" w:color="000000" w:sz="4" w:space="0"/>
              <w:right w:val="single" w:color="000000" w:sz="4" w:space="0"/>
            </w:tcBorders>
            <w:noWrap/>
            <w:vAlign w:val="center"/>
          </w:tcPr>
          <w:p w14:paraId="53F54C10">
            <w:pPr>
              <w:widowControl/>
              <w:spacing w:line="360" w:lineRule="auto"/>
              <w:ind w:firstLine="0" w:firstLineChars="0"/>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4</w:t>
            </w:r>
          </w:p>
        </w:tc>
        <w:tc>
          <w:tcPr>
            <w:tcW w:w="1649" w:type="pct"/>
            <w:tcBorders>
              <w:top w:val="single" w:color="000000" w:sz="4" w:space="0"/>
              <w:left w:val="single" w:color="000000" w:sz="4" w:space="0"/>
              <w:bottom w:val="single" w:color="000000" w:sz="4" w:space="0"/>
              <w:right w:val="single" w:color="000000" w:sz="4" w:space="0"/>
            </w:tcBorders>
            <w:noWrap/>
            <w:vAlign w:val="center"/>
          </w:tcPr>
          <w:p w14:paraId="7D57B4E1">
            <w:pPr>
              <w:widowControl/>
              <w:spacing w:line="360" w:lineRule="auto"/>
              <w:ind w:firstLine="0" w:firstLineChars="0"/>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制度建设</w:t>
            </w:r>
          </w:p>
        </w:tc>
        <w:tc>
          <w:tcPr>
            <w:tcW w:w="2208" w:type="pct"/>
            <w:tcBorders>
              <w:top w:val="single" w:color="000000" w:sz="4" w:space="0"/>
              <w:left w:val="single" w:color="000000" w:sz="4" w:space="0"/>
              <w:bottom w:val="single" w:color="000000" w:sz="4" w:space="0"/>
              <w:right w:val="single" w:color="000000" w:sz="4" w:space="0"/>
            </w:tcBorders>
            <w:vAlign w:val="center"/>
          </w:tcPr>
          <w:p w14:paraId="322379D8">
            <w:pPr>
              <w:widowControl/>
              <w:spacing w:line="360" w:lineRule="auto"/>
              <w:ind w:firstLine="0" w:firstLineChars="0"/>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结合医院现状，建立数据分级权限管理体系，落实数据安全技术保护、个人信息保护制度，规范调阅查询、导出、删除、更改、检测、审计等规范制度</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28DC7CA1">
            <w:pPr>
              <w:widowControl/>
              <w:spacing w:line="360" w:lineRule="auto"/>
              <w:ind w:firstLine="0" w:firstLineChars="0"/>
              <w:jc w:val="center"/>
              <w:rPr>
                <w:rFonts w:ascii="宋体" w:hAnsi="宋体" w:eastAsia="宋体" w:cs="宋体"/>
                <w:color w:val="000000"/>
                <w:sz w:val="24"/>
                <w:szCs w:val="24"/>
              </w:rPr>
            </w:pPr>
          </w:p>
        </w:tc>
      </w:tr>
      <w:tr w14:paraId="30DCFFB6">
        <w:tblPrEx>
          <w:tblCellMar>
            <w:top w:w="0" w:type="dxa"/>
            <w:left w:w="108" w:type="dxa"/>
            <w:bottom w:w="0" w:type="dxa"/>
            <w:right w:w="108" w:type="dxa"/>
          </w:tblCellMar>
        </w:tblPrEx>
        <w:trPr>
          <w:trHeight w:val="1120" w:hRule="atLeast"/>
        </w:trPr>
        <w:tc>
          <w:tcPr>
            <w:tcW w:w="701" w:type="pct"/>
            <w:tcBorders>
              <w:top w:val="single" w:color="000000" w:sz="4" w:space="0"/>
              <w:left w:val="single" w:color="000000" w:sz="4" w:space="0"/>
              <w:bottom w:val="single" w:color="000000" w:sz="4" w:space="0"/>
              <w:right w:val="single" w:color="000000" w:sz="4" w:space="0"/>
            </w:tcBorders>
            <w:noWrap/>
            <w:vAlign w:val="center"/>
          </w:tcPr>
          <w:p w14:paraId="6117B863">
            <w:pPr>
              <w:widowControl/>
              <w:spacing w:line="360" w:lineRule="auto"/>
              <w:ind w:firstLine="0" w:firstLineChars="0"/>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5</w:t>
            </w:r>
          </w:p>
        </w:tc>
        <w:tc>
          <w:tcPr>
            <w:tcW w:w="1649" w:type="pct"/>
            <w:tcBorders>
              <w:top w:val="single" w:color="000000" w:sz="4" w:space="0"/>
              <w:left w:val="single" w:color="000000" w:sz="4" w:space="0"/>
              <w:bottom w:val="single" w:color="000000" w:sz="4" w:space="0"/>
              <w:right w:val="single" w:color="000000" w:sz="4" w:space="0"/>
            </w:tcBorders>
            <w:noWrap/>
            <w:vAlign w:val="center"/>
          </w:tcPr>
          <w:p w14:paraId="1DD686B6">
            <w:pPr>
              <w:widowControl/>
              <w:spacing w:line="360" w:lineRule="auto"/>
              <w:ind w:firstLine="0" w:firstLineChars="0"/>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风险评估咨询</w:t>
            </w:r>
          </w:p>
        </w:tc>
        <w:tc>
          <w:tcPr>
            <w:tcW w:w="2208" w:type="pct"/>
            <w:tcBorders>
              <w:top w:val="single" w:color="000000" w:sz="4" w:space="0"/>
              <w:left w:val="single" w:color="000000" w:sz="4" w:space="0"/>
              <w:bottom w:val="single" w:color="000000" w:sz="4" w:space="0"/>
              <w:right w:val="single" w:color="000000" w:sz="4" w:space="0"/>
            </w:tcBorders>
            <w:vAlign w:val="center"/>
          </w:tcPr>
          <w:p w14:paraId="3423B77C">
            <w:pPr>
              <w:widowControl/>
              <w:spacing w:line="360" w:lineRule="auto"/>
              <w:ind w:firstLine="0" w:firstLineChars="0"/>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lang w:bidi="ar"/>
              </w:rPr>
              <w:t>针对应用系统开展数据安全风险评估，从采集、传输、存储、共享、加工、渗透等方面进行并出具《评估报告》及《整改计划》协助整改</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1B7E7ED8">
            <w:pPr>
              <w:widowControl/>
              <w:spacing w:line="360" w:lineRule="auto"/>
              <w:ind w:firstLine="0" w:firstLineChars="0"/>
              <w:jc w:val="center"/>
              <w:rPr>
                <w:rFonts w:ascii="宋体" w:hAnsi="宋体" w:eastAsia="宋体" w:cs="宋体"/>
                <w:color w:val="000000"/>
                <w:sz w:val="24"/>
                <w:szCs w:val="24"/>
              </w:rPr>
            </w:pPr>
          </w:p>
        </w:tc>
      </w:tr>
    </w:tbl>
    <w:p w14:paraId="05024A7B">
      <w:pPr>
        <w:pStyle w:val="2"/>
        <w:spacing w:before="0" w:after="0" w:line="360" w:lineRule="auto"/>
        <w:ind w:firstLine="482"/>
        <w:rPr>
          <w:rFonts w:ascii="宋体" w:hAnsi="宋体" w:cs="宋体"/>
          <w:kern w:val="2"/>
          <w:sz w:val="24"/>
          <w:szCs w:val="24"/>
          <w:highlight w:val="none"/>
        </w:rPr>
      </w:pPr>
      <w:r>
        <w:rPr>
          <w:rFonts w:hint="eastAsia" w:ascii="宋体" w:hAnsi="宋体" w:cs="宋体"/>
          <w:kern w:val="2"/>
          <w:sz w:val="24"/>
          <w:szCs w:val="24"/>
          <w:highlight w:val="none"/>
          <w:lang w:val="en-US" w:eastAsia="zh-CN"/>
        </w:rPr>
        <w:t>2</w:t>
      </w:r>
      <w:r>
        <w:rPr>
          <w:rFonts w:hint="eastAsia" w:ascii="宋体" w:hAnsi="宋体" w:cs="宋体"/>
          <w:kern w:val="2"/>
          <w:sz w:val="24"/>
          <w:szCs w:val="24"/>
          <w:highlight w:val="none"/>
        </w:rPr>
        <w:t>.资质要求</w:t>
      </w:r>
    </w:p>
    <w:p w14:paraId="3B30DCBC">
      <w:pPr>
        <w:spacing w:line="360" w:lineRule="auto"/>
        <w:ind w:firstLine="480"/>
        <w:rPr>
          <w:rFonts w:ascii="宋体" w:hAnsi="宋体" w:cs="宋体"/>
          <w:sz w:val="24"/>
          <w:szCs w:val="24"/>
          <w:highlight w:val="none"/>
          <w:shd w:val="clear" w:color="FFFFFF" w:fill="D9D9D9"/>
        </w:rPr>
      </w:pPr>
      <w:bookmarkStart w:id="7" w:name="_GoBack"/>
      <w:r>
        <w:rPr>
          <w:rFonts w:hint="eastAsia" w:ascii="宋体" w:hAnsi="宋体" w:cs="宋体"/>
          <w:sz w:val="24"/>
          <w:szCs w:val="24"/>
          <w:highlight w:val="none"/>
          <w:shd w:val="clear" w:color="FFFFFF" w:fill="D9D9D9"/>
        </w:rPr>
        <w:t>1. 投标人应具有</w:t>
      </w:r>
      <w:r>
        <w:rPr>
          <w:rFonts w:ascii="宋体" w:hAnsi="宋体" w:cs="宋体"/>
          <w:sz w:val="24"/>
          <w:szCs w:val="24"/>
          <w:highlight w:val="none"/>
          <w:shd w:val="clear" w:color="FFFFFF" w:fill="D9D9D9"/>
        </w:rPr>
        <w:t>中国安全技术防范认证中心颁发的重要行业供应商网络安</w:t>
      </w:r>
      <w:bookmarkEnd w:id="7"/>
      <w:r>
        <w:rPr>
          <w:rFonts w:ascii="宋体" w:hAnsi="宋体" w:cs="宋体"/>
          <w:sz w:val="24"/>
          <w:szCs w:val="24"/>
          <w:highlight w:val="none"/>
          <w:shd w:val="clear" w:color="FFFFFF" w:fill="D9D9D9"/>
        </w:rPr>
        <w:t>全服务认证证书</w:t>
      </w:r>
      <w:r>
        <w:rPr>
          <w:rFonts w:hint="eastAsia" w:ascii="宋体" w:hAnsi="宋体" w:cs="宋体"/>
          <w:sz w:val="24"/>
          <w:szCs w:val="24"/>
          <w:highlight w:val="none"/>
          <w:shd w:val="clear" w:color="FFFFFF" w:fill="D9D9D9"/>
        </w:rPr>
        <w:t>；</w:t>
      </w:r>
    </w:p>
    <w:p w14:paraId="2207A163">
      <w:pPr>
        <w:spacing w:line="360" w:lineRule="auto"/>
        <w:ind w:firstLine="480"/>
        <w:rPr>
          <w:rFonts w:ascii="宋体" w:hAnsi="宋体" w:cs="宋体"/>
          <w:sz w:val="24"/>
          <w:szCs w:val="24"/>
          <w:highlight w:val="none"/>
          <w:shd w:val="clear" w:color="FFFFFF" w:fill="D9D9D9"/>
        </w:rPr>
      </w:pPr>
      <w:r>
        <w:rPr>
          <w:rFonts w:hint="eastAsia" w:ascii="宋体" w:hAnsi="宋体" w:cs="宋体"/>
          <w:sz w:val="24"/>
          <w:szCs w:val="24"/>
          <w:highlight w:val="none"/>
          <w:shd w:val="clear" w:color="FFFFFF" w:fill="D9D9D9"/>
        </w:rPr>
        <w:t>2.投标人应具有有效中国计算机行业协会数据安全专业委员会、中国软件评测中心（工业和信息化部软件与集成电路促进中心）颁发数据安全服务能力评定资格证书（数据安全评估二级及以上）；</w:t>
      </w:r>
    </w:p>
    <w:p w14:paraId="1A43F2F3">
      <w:pPr>
        <w:spacing w:line="360" w:lineRule="auto"/>
        <w:ind w:firstLine="480"/>
        <w:rPr>
          <w:rFonts w:ascii="宋体" w:hAnsi="宋体" w:cs="宋体"/>
          <w:sz w:val="24"/>
          <w:szCs w:val="24"/>
          <w:highlight w:val="none"/>
        </w:rPr>
      </w:pPr>
      <w:r>
        <w:rPr>
          <w:rFonts w:hint="eastAsia" w:ascii="宋体" w:hAnsi="宋体" w:cs="宋体"/>
          <w:sz w:val="24"/>
          <w:szCs w:val="24"/>
          <w:highlight w:val="none"/>
        </w:rPr>
        <w:t>3</w:t>
      </w:r>
      <w:r>
        <w:rPr>
          <w:rFonts w:ascii="宋体" w:hAnsi="宋体" w:cs="宋体"/>
          <w:sz w:val="24"/>
          <w:szCs w:val="24"/>
          <w:highlight w:val="none"/>
        </w:rPr>
        <w:t>.</w:t>
      </w:r>
      <w:r>
        <w:rPr>
          <w:rFonts w:hint="eastAsia" w:ascii="宋体" w:hAnsi="宋体" w:cs="宋体"/>
          <w:sz w:val="24"/>
          <w:szCs w:val="24"/>
          <w:highlight w:val="none"/>
        </w:rPr>
        <w:t>投标人应具有中国信息安全测评中心颁发的国家信息安全测评信息安全服务资质证书（数据安全类一级）；</w:t>
      </w:r>
    </w:p>
    <w:p w14:paraId="0CB7583F">
      <w:pPr>
        <w:spacing w:line="360" w:lineRule="auto"/>
        <w:ind w:firstLine="480"/>
        <w:rPr>
          <w:rFonts w:hint="eastAsia" w:ascii="宋体" w:hAnsi="宋体" w:cs="宋体" w:eastAsiaTheme="minorEastAsia"/>
          <w:sz w:val="24"/>
          <w:szCs w:val="24"/>
          <w:highlight w:val="none"/>
          <w:lang w:eastAsia="zh-CN"/>
        </w:rPr>
      </w:pPr>
      <w:r>
        <w:rPr>
          <w:rFonts w:ascii="宋体" w:hAnsi="宋体" w:cs="宋体"/>
          <w:sz w:val="24"/>
          <w:szCs w:val="24"/>
          <w:highlight w:val="none"/>
        </w:rPr>
        <w:t>4</w:t>
      </w:r>
      <w:r>
        <w:rPr>
          <w:rFonts w:hint="eastAsia" w:ascii="宋体" w:hAnsi="宋体" w:cs="宋体"/>
          <w:sz w:val="24"/>
          <w:szCs w:val="24"/>
          <w:highlight w:val="none"/>
        </w:rPr>
        <w:t>.投标人应具有有效的中国网络安全审查认证和市场监管大数据中心颁发的数据安全管理认证证书</w:t>
      </w:r>
      <w:r>
        <w:rPr>
          <w:rFonts w:hint="eastAsia" w:ascii="宋体" w:hAnsi="宋体" w:cs="宋体"/>
          <w:sz w:val="24"/>
          <w:szCs w:val="24"/>
          <w:highlight w:val="none"/>
          <w:lang w:eastAsia="zh-CN"/>
        </w:rPr>
        <w:t>；</w:t>
      </w:r>
    </w:p>
    <w:p w14:paraId="72D329A4">
      <w:pPr>
        <w:spacing w:line="360" w:lineRule="auto"/>
        <w:ind w:firstLine="480"/>
        <w:rPr>
          <w:rFonts w:hint="eastAsia" w:ascii="宋体" w:hAnsi="宋体" w:eastAsiaTheme="minorEastAsia"/>
          <w:sz w:val="24"/>
          <w:highlight w:val="none"/>
          <w:lang w:eastAsia="zh-CN"/>
        </w:rPr>
      </w:pPr>
      <w:r>
        <w:rPr>
          <w:rFonts w:ascii="宋体" w:hAnsi="宋体" w:cs="宋体"/>
          <w:sz w:val="24"/>
          <w:szCs w:val="24"/>
          <w:highlight w:val="none"/>
        </w:rPr>
        <w:t>5</w:t>
      </w:r>
      <w:r>
        <w:rPr>
          <w:rFonts w:hint="eastAsia" w:ascii="宋体" w:hAnsi="宋体" w:cs="宋体"/>
          <w:sz w:val="24"/>
          <w:szCs w:val="24"/>
          <w:highlight w:val="none"/>
        </w:rPr>
        <w:t>.</w:t>
      </w:r>
      <w:r>
        <w:rPr>
          <w:rFonts w:hint="eastAsia" w:ascii="宋体" w:hAnsi="宋体"/>
          <w:sz w:val="24"/>
          <w:highlight w:val="none"/>
        </w:rPr>
        <w:t>服务人员应具备CISP-DSG证书，提供证书复印件</w:t>
      </w:r>
      <w:r>
        <w:rPr>
          <w:rFonts w:hint="eastAsia" w:ascii="宋体" w:hAnsi="宋体"/>
          <w:sz w:val="24"/>
          <w:highlight w:val="none"/>
          <w:lang w:eastAsia="zh-CN"/>
        </w:rPr>
        <w:t>；</w:t>
      </w:r>
    </w:p>
    <w:p w14:paraId="0D3B09BB">
      <w:pPr>
        <w:spacing w:line="360" w:lineRule="auto"/>
        <w:ind w:firstLine="480"/>
        <w:rPr>
          <w:rFonts w:ascii="宋体" w:hAnsi="宋体" w:cs="宋体"/>
          <w:sz w:val="24"/>
          <w:szCs w:val="24"/>
          <w:highlight w:val="none"/>
        </w:rPr>
      </w:pPr>
      <w:r>
        <w:rPr>
          <w:rFonts w:ascii="宋体" w:hAnsi="宋体" w:cs="宋体"/>
          <w:sz w:val="24"/>
          <w:szCs w:val="24"/>
          <w:highlight w:val="none"/>
        </w:rPr>
        <w:t>6</w:t>
      </w:r>
      <w:r>
        <w:rPr>
          <w:rFonts w:hint="eastAsia" w:ascii="宋体" w:hAnsi="宋体" w:cs="宋体"/>
          <w:sz w:val="24"/>
          <w:szCs w:val="24"/>
          <w:highlight w:val="none"/>
        </w:rPr>
        <w:t>.有近三年内数据安全服务经验(大型医疗机构或企事业/政府单位，数量至少三家)。</w:t>
      </w:r>
    </w:p>
    <w:p w14:paraId="08E308A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F63543"/>
    <w:rsid w:val="02497F4C"/>
    <w:rsid w:val="08273E74"/>
    <w:rsid w:val="0F1E2159"/>
    <w:rsid w:val="49F63543"/>
    <w:rsid w:val="7CAB6210"/>
    <w:rsid w:val="7E7967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638</Words>
  <Characters>653</Characters>
  <Lines>0</Lines>
  <Paragraphs>0</Paragraphs>
  <TotalTime>10</TotalTime>
  <ScaleCrop>false</ScaleCrop>
  <LinksUpToDate>false</LinksUpToDate>
  <CharactersWithSpaces>654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2026-09-22T07:20:00Z</dcterms:created>
  <dc:creator>Power</dc:creator>
  <cp:lastModifiedBy>小奥很</cp:lastModifiedBy>
  <dcterms:modified xsi:type="dcterms:W3CDTF">2026-10-15T06:52:22Z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7C5A32D514284DE1A637B913C6E91C6C_13</vt:lpwstr>
  </property>
  <property fmtid="{D5CDD505-2E9C-101B-9397-08002B2CF9AE}" pid="4" name="KSOTemplateDocerSaveRecord">
    <vt:lpwstr>eyJoZGlkIjoiODU0NzdiYWVlMWEzYjc1ZWY1Nzc2N2VlYmY5ZGY5ZjEiLCJ1c2VySWQiOiI2MzU3OTM1MzQifQ==</vt:lpwstr>
  </property>
</Properties>
</file>