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323" w:type="dxa"/>
        <w:jc w:val="center"/>
        <w:tblLayout w:type="autofit"/>
        <w:tblCellMar>
          <w:top w:w="0" w:type="dxa"/>
          <w:left w:w="108" w:type="dxa"/>
          <w:bottom w:w="0" w:type="dxa"/>
          <w:right w:w="108" w:type="dxa"/>
        </w:tblCellMar>
      </w:tblPr>
      <w:tblGrid>
        <w:gridCol w:w="1256"/>
        <w:gridCol w:w="2919"/>
        <w:gridCol w:w="6148"/>
      </w:tblGrid>
      <w:tr w14:paraId="5448B578">
        <w:tblPrEx>
          <w:tblCellMar>
            <w:top w:w="0" w:type="dxa"/>
            <w:left w:w="108" w:type="dxa"/>
            <w:bottom w:w="0" w:type="dxa"/>
            <w:right w:w="108" w:type="dxa"/>
          </w:tblCellMar>
        </w:tblPrEx>
        <w:trPr>
          <w:trHeight w:val="547" w:hRule="atLeast"/>
          <w:jc w:val="center"/>
        </w:trPr>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2FB9">
            <w:pPr>
              <w:jc w:val="center"/>
              <w:rPr>
                <w:rFonts w:ascii="宋体" w:hAnsi="宋体"/>
                <w:b/>
                <w:bCs/>
                <w:color w:val="000000"/>
                <w:sz w:val="32"/>
                <w:szCs w:val="32"/>
              </w:rPr>
            </w:pPr>
            <w:r>
              <w:rPr>
                <w:rFonts w:hint="eastAsia" w:ascii="宋体" w:hAnsi="宋体" w:eastAsia="宋体" w:cs="宋体"/>
                <w:b w:val="0"/>
                <w:bCs w:val="0"/>
                <w:i w:val="0"/>
                <w:iCs w:val="0"/>
                <w:color w:val="000000"/>
                <w:kern w:val="0"/>
                <w:sz w:val="24"/>
                <w:szCs w:val="24"/>
                <w:u w:val="none"/>
                <w:lang w:val="en-US" w:eastAsia="zh-CN"/>
              </w:rPr>
              <w:t>配置需求</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BBC4">
            <w:pPr>
              <w:keepNext w:val="0"/>
              <w:keepLines w:val="0"/>
              <w:widowControl/>
              <w:suppressLineNumbers w:val="0"/>
              <w:jc w:val="center"/>
              <w:textAlignment w:val="center"/>
              <w:rPr>
                <w:rFonts w:ascii="宋体" w:hAnsi="宋体"/>
                <w:color w:val="000000"/>
                <w:kern w:val="0"/>
                <w:sz w:val="24"/>
              </w:rPr>
            </w:pPr>
            <w:r>
              <w:rPr>
                <w:rFonts w:hint="eastAsia" w:ascii="宋体" w:hAnsi="宋体" w:cs="宋体"/>
                <w:b w:val="0"/>
                <w:bCs w:val="0"/>
                <w:i w:val="0"/>
                <w:iCs w:val="0"/>
                <w:color w:val="000000"/>
                <w:kern w:val="0"/>
                <w:sz w:val="24"/>
                <w:szCs w:val="24"/>
                <w:u w:val="none"/>
                <w:lang w:val="en-US" w:eastAsia="zh-CN"/>
              </w:rPr>
              <w:t>无</w:t>
            </w:r>
          </w:p>
        </w:tc>
        <w:tc>
          <w:tcPr>
            <w:tcW w:w="6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307D">
            <w:pPr>
              <w:jc w:val="center"/>
              <w:rPr>
                <w:rFonts w:ascii="宋体" w:hAnsi="宋体"/>
                <w:color w:val="000000"/>
                <w:kern w:val="0"/>
                <w:sz w:val="24"/>
              </w:rPr>
            </w:pPr>
            <w:r>
              <w:rPr>
                <w:rFonts w:hint="eastAsia" w:ascii="宋体" w:hAnsi="宋体" w:eastAsia="宋体" w:cs="宋体"/>
                <w:b w:val="0"/>
                <w:bCs w:val="0"/>
                <w:i w:val="0"/>
                <w:iCs w:val="0"/>
                <w:color w:val="000000"/>
                <w:kern w:val="0"/>
                <w:sz w:val="24"/>
                <w:szCs w:val="24"/>
                <w:u w:val="none"/>
                <w:lang w:val="en-US" w:eastAsia="zh-CN"/>
              </w:rPr>
              <w:t>配置需求</w:t>
            </w:r>
          </w:p>
        </w:tc>
      </w:tr>
      <w:tr w14:paraId="1A01744E">
        <w:tblPrEx>
          <w:tblCellMar>
            <w:top w:w="0" w:type="dxa"/>
            <w:left w:w="108" w:type="dxa"/>
            <w:bottom w:w="0" w:type="dxa"/>
            <w:right w:w="108" w:type="dxa"/>
          </w:tblCellMar>
        </w:tblPrEx>
        <w:trPr>
          <w:trHeight w:val="624" w:hRule="atLeast"/>
          <w:jc w:val="center"/>
        </w:trPr>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FC98">
            <w:pPr>
              <w:jc w:val="both"/>
              <w:rPr>
                <w:rFonts w:ascii="宋体" w:hAnsi="宋体"/>
                <w:color w:val="000000"/>
                <w:sz w:val="24"/>
              </w:rPr>
            </w:pPr>
          </w:p>
          <w:p w14:paraId="461E1C21">
            <w:pPr>
              <w:jc w:val="both"/>
              <w:rPr>
                <w:rFonts w:ascii="宋体" w:hAnsi="宋体"/>
                <w:color w:val="000000"/>
                <w:sz w:val="24"/>
              </w:rPr>
            </w:pPr>
          </w:p>
          <w:p w14:paraId="685CA85C">
            <w:pPr>
              <w:jc w:val="center"/>
              <w:rPr>
                <w:rFonts w:hint="eastAsia" w:ascii="宋体" w:hAnsi="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设备</w:t>
            </w:r>
            <w:r>
              <w:rPr>
                <w:rFonts w:hint="eastAsia" w:ascii="宋体" w:hAnsi="宋体" w:eastAsia="宋体" w:cs="宋体"/>
                <w:b w:val="0"/>
                <w:bCs w:val="0"/>
                <w:i w:val="0"/>
                <w:iCs w:val="0"/>
                <w:color w:val="000000"/>
                <w:kern w:val="0"/>
                <w:sz w:val="24"/>
                <w:szCs w:val="24"/>
                <w:u w:val="none"/>
                <w:lang w:val="en-US" w:eastAsia="zh-CN"/>
              </w:rPr>
              <w:t>技术性能</w:t>
            </w:r>
            <w:r>
              <w:rPr>
                <w:rFonts w:hint="eastAsia" w:ascii="宋体" w:hAnsi="宋体" w:cs="宋体"/>
                <w:b w:val="0"/>
                <w:bCs w:val="0"/>
                <w:i w:val="0"/>
                <w:iCs w:val="0"/>
                <w:color w:val="000000"/>
                <w:kern w:val="0"/>
                <w:sz w:val="24"/>
                <w:szCs w:val="24"/>
                <w:u w:val="none"/>
                <w:lang w:val="en-US" w:eastAsia="zh-CN"/>
              </w:rPr>
              <w:t>/</w:t>
            </w:r>
          </w:p>
          <w:p w14:paraId="7BCB33B8">
            <w:pPr>
              <w:jc w:val="center"/>
              <w:rPr>
                <w:rFonts w:ascii="宋体" w:hAnsi="宋体"/>
                <w:color w:val="000000"/>
                <w:sz w:val="24"/>
              </w:rPr>
            </w:pPr>
            <w:r>
              <w:rPr>
                <w:rFonts w:hint="eastAsia" w:ascii="宋体" w:hAnsi="宋体" w:cs="宋体"/>
                <w:b w:val="0"/>
                <w:bCs w:val="0"/>
                <w:i w:val="0"/>
                <w:iCs w:val="0"/>
                <w:color w:val="000000"/>
                <w:kern w:val="0"/>
                <w:sz w:val="24"/>
                <w:szCs w:val="24"/>
                <w:u w:val="none"/>
                <w:lang w:val="en-US" w:eastAsia="zh-CN"/>
              </w:rPr>
              <w:t>服务</w:t>
            </w:r>
            <w:r>
              <w:rPr>
                <w:rFonts w:hint="eastAsia" w:ascii="宋体" w:hAnsi="宋体" w:eastAsia="宋体" w:cs="宋体"/>
                <w:b w:val="0"/>
                <w:bCs w:val="0"/>
                <w:i w:val="0"/>
                <w:iCs w:val="0"/>
                <w:color w:val="000000"/>
                <w:kern w:val="0"/>
                <w:sz w:val="24"/>
                <w:szCs w:val="24"/>
                <w:u w:val="none"/>
                <w:lang w:val="en-US" w:eastAsia="zh-CN"/>
              </w:rPr>
              <w:t>参数需求</w:t>
            </w:r>
          </w:p>
          <w:p w14:paraId="27C53A48">
            <w:pPr>
              <w:jc w:val="both"/>
              <w:rPr>
                <w:rFonts w:ascii="宋体" w:hAnsi="宋体"/>
                <w:color w:val="000000"/>
                <w:sz w:val="24"/>
              </w:rPr>
            </w:pPr>
          </w:p>
          <w:p w14:paraId="37D0F9D2">
            <w:pPr>
              <w:jc w:val="both"/>
              <w:rPr>
                <w:rFonts w:ascii="宋体" w:hAnsi="宋体"/>
                <w:color w:val="000000"/>
                <w:sz w:val="24"/>
              </w:rPr>
            </w:pPr>
          </w:p>
          <w:p w14:paraId="16B9BE3E">
            <w:pPr>
              <w:jc w:val="both"/>
              <w:rPr>
                <w:rFonts w:ascii="宋体" w:hAnsi="宋体"/>
                <w:color w:val="000000"/>
                <w:sz w:val="24"/>
              </w:rPr>
            </w:pPr>
          </w:p>
          <w:p w14:paraId="44A39853">
            <w:pPr>
              <w:jc w:val="both"/>
              <w:rPr>
                <w:rFonts w:ascii="宋体" w:hAnsi="宋体"/>
                <w:b/>
                <w:bCs/>
                <w:color w:val="000000"/>
                <w:sz w:val="32"/>
                <w:szCs w:val="32"/>
              </w:rPr>
            </w:pP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3828D">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（一）服务覆盖区域</w:t>
            </w:r>
          </w:p>
          <w:p w14:paraId="1942EAE2">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全院各临床科室、医技科室、门诊、手术室、ICU、检验科、供应室、后勤保障等所有使用计量器具的区域。</w:t>
            </w:r>
          </w:p>
          <w:p w14:paraId="3E6AD3E4">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（二）计量设备仪器范围</w:t>
            </w:r>
          </w:p>
          <w:p w14:paraId="2A252034">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1.</w:t>
            </w:r>
            <w:r>
              <w:rPr>
                <w:rFonts w:hint="eastAsia" w:ascii="宋体" w:hAnsi="宋体" w:eastAsia="宋体" w:cs="宋体"/>
                <w:b w:val="0"/>
                <w:bCs w:val="0"/>
                <w:i w:val="0"/>
                <w:iCs w:val="0"/>
                <w:color w:val="000000"/>
                <w:kern w:val="0"/>
                <w:sz w:val="24"/>
                <w:szCs w:val="24"/>
                <w:u w:val="none"/>
                <w:lang w:val="en-US" w:eastAsia="zh-CN"/>
              </w:rPr>
              <w:t>非强制检定计量器具（出具校准证书）：PH计、全自动核酸提取纯化仪、可调移液器、数字温湿度计、呼吸机、离心机、游标卡尺、隔水式恒温培养箱、输液泵、冰箱温度检测设备、微量紫外可见分光光度计、电子天平、PCR仪、血细胞分析仪、酶标仪（医院现有设备明细见附件）。</w:t>
            </w:r>
          </w:p>
          <w:p w14:paraId="3E9C45F0">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2.</w:t>
            </w:r>
            <w:r>
              <w:rPr>
                <w:rFonts w:hint="eastAsia" w:ascii="宋体" w:hAnsi="宋体" w:eastAsia="宋体" w:cs="宋体"/>
                <w:b w:val="0"/>
                <w:bCs w:val="0"/>
                <w:i w:val="0"/>
                <w:iCs w:val="0"/>
                <w:color w:val="000000"/>
                <w:kern w:val="0"/>
                <w:sz w:val="24"/>
                <w:szCs w:val="24"/>
                <w:u w:val="none"/>
                <w:lang w:val="en-US" w:eastAsia="zh-CN"/>
              </w:rPr>
              <w:t>包含后期新增仪器、临时需要检测的小型设备。</w:t>
            </w:r>
          </w:p>
          <w:p w14:paraId="15F5F2F5">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（三）技术资质要求</w:t>
            </w:r>
          </w:p>
          <w:p w14:paraId="0617F6C3">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服务商须持有中国合格评定国家认可委员会实验室认可证书（CNAS），具备对应计量服务资质。检定人员持有有效的注册计量师注册证及对应项目的计量专业项目考核合格证；检定过程所使用的计量标准器具均已完成检定，检定证书处于有效期内，满足检定工作开展要求。须严格按照国家检定规程、行业标准开展检测，保证检测数据、原始记录完整规范。</w:t>
            </w:r>
          </w:p>
          <w:p w14:paraId="29555F5F">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（四）服务要求</w:t>
            </w:r>
          </w:p>
          <w:p w14:paraId="5C07C14A">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1.</w:t>
            </w:r>
            <w:r>
              <w:rPr>
                <w:rFonts w:hint="eastAsia" w:ascii="宋体" w:hAnsi="宋体" w:eastAsia="宋体" w:cs="宋体"/>
                <w:b w:val="0"/>
                <w:bCs w:val="0"/>
                <w:i w:val="0"/>
                <w:iCs w:val="0"/>
                <w:color w:val="000000"/>
                <w:kern w:val="0"/>
                <w:sz w:val="24"/>
                <w:szCs w:val="24"/>
                <w:u w:val="none"/>
                <w:lang w:val="en-US" w:eastAsia="zh-CN"/>
              </w:rPr>
              <w:t>检测实施方式：上门现场检测</w:t>
            </w:r>
            <w:r>
              <w:rPr>
                <w:rFonts w:hint="eastAsia" w:ascii="宋体" w:hAnsi="宋体" w:cs="宋体"/>
                <w:b w:val="0"/>
                <w:bCs w:val="0"/>
                <w:i w:val="0"/>
                <w:iCs w:val="0"/>
                <w:color w:val="000000"/>
                <w:kern w:val="0"/>
                <w:sz w:val="24"/>
                <w:szCs w:val="24"/>
                <w:u w:val="none"/>
                <w:lang w:val="en-US" w:eastAsia="zh-CN"/>
              </w:rPr>
              <w:t>。服务商不得单方面强制要求将检验诊疗设备集中送检。</w:t>
            </w:r>
            <w:r>
              <w:rPr>
                <w:rFonts w:hint="eastAsia" w:ascii="宋体" w:hAnsi="宋体" w:eastAsia="宋体" w:cs="宋体"/>
                <w:b w:val="0"/>
                <w:bCs w:val="0"/>
                <w:i w:val="0"/>
                <w:iCs w:val="0"/>
                <w:color w:val="000000"/>
                <w:kern w:val="0"/>
                <w:sz w:val="24"/>
                <w:szCs w:val="24"/>
                <w:u w:val="none"/>
                <w:lang w:val="en-US" w:eastAsia="zh-CN"/>
              </w:rPr>
              <w:t>现场作业避开诊疗高峰，遵守医院院感及各项管理规定。</w:t>
            </w:r>
          </w:p>
          <w:p w14:paraId="781ED149">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2.</w:t>
            </w:r>
            <w:r>
              <w:rPr>
                <w:rFonts w:hint="eastAsia" w:ascii="宋体" w:hAnsi="宋体" w:eastAsia="宋体" w:cs="宋体"/>
                <w:b w:val="0"/>
                <w:bCs w:val="0"/>
                <w:i w:val="0"/>
                <w:iCs w:val="0"/>
                <w:color w:val="000000"/>
                <w:kern w:val="0"/>
                <w:sz w:val="24"/>
                <w:szCs w:val="24"/>
                <w:u w:val="none"/>
                <w:lang w:val="en-US" w:eastAsia="zh-CN"/>
              </w:rPr>
              <w:t>不合格处置：检出不合格设备，当场张贴对应状态标识并书面告知我方，同步提供整改建议。</w:t>
            </w:r>
          </w:p>
          <w:p w14:paraId="337B362C">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3.</w:t>
            </w:r>
            <w:r>
              <w:rPr>
                <w:rFonts w:hint="eastAsia" w:ascii="宋体" w:hAnsi="宋体" w:eastAsia="宋体" w:cs="宋体"/>
                <w:b w:val="0"/>
                <w:bCs w:val="0"/>
                <w:i w:val="0"/>
                <w:iCs w:val="0"/>
                <w:color w:val="000000"/>
                <w:kern w:val="0"/>
                <w:sz w:val="24"/>
                <w:szCs w:val="24"/>
                <w:u w:val="none"/>
                <w:lang w:val="en-US" w:eastAsia="zh-CN"/>
              </w:rPr>
              <w:t>证书与档案交付：所有设备出具可线上查验的检定/校准证书，检测完成后及时粘贴合格状态标识，整理档案资料移交存档。所有仪器完成现场检定/校准工作后12个工作日内出具正式证书，新出具证书生效日期须衔接原有证书有效期，杜绝计量证书空档期。同步交付纸质版、电子版证书台账，资料标准满足医院评审及监管检查。</w:t>
            </w:r>
          </w:p>
          <w:p w14:paraId="22C38B17">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4.</w:t>
            </w:r>
            <w:r>
              <w:rPr>
                <w:rFonts w:hint="eastAsia" w:ascii="宋体" w:hAnsi="宋体" w:eastAsia="宋体" w:cs="宋体"/>
                <w:b w:val="0"/>
                <w:bCs w:val="0"/>
                <w:i w:val="0"/>
                <w:iCs w:val="0"/>
                <w:color w:val="000000"/>
                <w:kern w:val="0"/>
                <w:sz w:val="24"/>
                <w:szCs w:val="24"/>
                <w:u w:val="none"/>
                <w:lang w:val="en-US" w:eastAsia="zh-CN"/>
              </w:rPr>
              <w:t>周期管理：按法定周期完成检测，协助维护计量台账，设备到期前30个工作日主动提醒，双方协调安排检测时间。</w:t>
            </w:r>
          </w:p>
          <w:p w14:paraId="364F7241">
            <w:pPr>
              <w:jc w:val="left"/>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5.</w:t>
            </w:r>
            <w:r>
              <w:rPr>
                <w:rFonts w:hint="eastAsia" w:ascii="宋体" w:hAnsi="宋体" w:eastAsia="宋体" w:cs="宋体"/>
                <w:b w:val="0"/>
                <w:bCs w:val="0"/>
                <w:i w:val="0"/>
                <w:iCs w:val="0"/>
                <w:color w:val="000000"/>
                <w:kern w:val="0"/>
                <w:sz w:val="24"/>
                <w:szCs w:val="24"/>
                <w:u w:val="none"/>
                <w:lang w:val="en-US" w:eastAsia="zh-CN"/>
              </w:rPr>
              <w:t>其他配套：提供技术咨询，配合上级部门检查，严格保密院内信息。</w:t>
            </w:r>
          </w:p>
          <w:p w14:paraId="185C2021">
            <w:pPr>
              <w:jc w:val="left"/>
              <w:rPr>
                <w:rFonts w:ascii="宋体" w:hAnsi="宋体"/>
                <w:color w:val="000000"/>
                <w:sz w:val="24"/>
              </w:rPr>
            </w:pPr>
          </w:p>
        </w:tc>
        <w:tc>
          <w:tcPr>
            <w:tcW w:w="6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72BF">
            <w:pPr>
              <w:jc w:val="both"/>
              <w:rPr>
                <w:rFonts w:ascii="宋体" w:hAnsi="宋体"/>
                <w:color w:val="000000"/>
                <w:sz w:val="24"/>
              </w:rPr>
            </w:pPr>
          </w:p>
          <w:p w14:paraId="77D6D13D">
            <w:pPr>
              <w:jc w:val="both"/>
              <w:rPr>
                <w:rFonts w:ascii="宋体" w:hAnsi="宋体"/>
                <w:color w:val="000000"/>
                <w:sz w:val="24"/>
              </w:rPr>
            </w:pPr>
          </w:p>
          <w:p w14:paraId="38CD04AF">
            <w:pPr>
              <w:jc w:val="center"/>
              <w:rPr>
                <w:rFonts w:hint="eastAsia" w:ascii="宋体" w:hAnsi="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设备</w:t>
            </w:r>
            <w:r>
              <w:rPr>
                <w:rFonts w:hint="eastAsia" w:ascii="宋体" w:hAnsi="宋体" w:eastAsia="宋体" w:cs="宋体"/>
                <w:b w:val="0"/>
                <w:bCs w:val="0"/>
                <w:i w:val="0"/>
                <w:iCs w:val="0"/>
                <w:color w:val="000000"/>
                <w:kern w:val="0"/>
                <w:sz w:val="24"/>
                <w:szCs w:val="24"/>
                <w:u w:val="none"/>
                <w:lang w:val="en-US" w:eastAsia="zh-CN"/>
              </w:rPr>
              <w:t>技术性能</w:t>
            </w:r>
            <w:r>
              <w:rPr>
                <w:rFonts w:hint="eastAsia" w:ascii="宋体" w:hAnsi="宋体" w:cs="宋体"/>
                <w:b w:val="0"/>
                <w:bCs w:val="0"/>
                <w:i w:val="0"/>
                <w:iCs w:val="0"/>
                <w:color w:val="000000"/>
                <w:kern w:val="0"/>
                <w:sz w:val="24"/>
                <w:szCs w:val="24"/>
                <w:u w:val="none"/>
                <w:lang w:val="en-US" w:eastAsia="zh-CN"/>
              </w:rPr>
              <w:t>/</w:t>
            </w:r>
          </w:p>
          <w:p w14:paraId="162B2CEB">
            <w:pPr>
              <w:jc w:val="center"/>
              <w:rPr>
                <w:rFonts w:ascii="宋体" w:hAnsi="宋体"/>
                <w:color w:val="000000"/>
                <w:sz w:val="24"/>
              </w:rPr>
            </w:pPr>
            <w:r>
              <w:rPr>
                <w:rFonts w:hint="eastAsia" w:ascii="宋体" w:hAnsi="宋体" w:cs="宋体"/>
                <w:b w:val="0"/>
                <w:bCs w:val="0"/>
                <w:i w:val="0"/>
                <w:iCs w:val="0"/>
                <w:color w:val="000000"/>
                <w:kern w:val="0"/>
                <w:sz w:val="24"/>
                <w:szCs w:val="24"/>
                <w:u w:val="none"/>
                <w:lang w:val="en-US" w:eastAsia="zh-CN"/>
              </w:rPr>
              <w:t>服务</w:t>
            </w:r>
            <w:r>
              <w:rPr>
                <w:rFonts w:hint="eastAsia" w:ascii="宋体" w:hAnsi="宋体" w:eastAsia="宋体" w:cs="宋体"/>
                <w:b w:val="0"/>
                <w:bCs w:val="0"/>
                <w:i w:val="0"/>
                <w:iCs w:val="0"/>
                <w:color w:val="000000"/>
                <w:kern w:val="0"/>
                <w:sz w:val="24"/>
                <w:szCs w:val="24"/>
                <w:u w:val="none"/>
                <w:lang w:val="en-US" w:eastAsia="zh-CN"/>
              </w:rPr>
              <w:t>参数需求</w:t>
            </w:r>
          </w:p>
          <w:p w14:paraId="2784885E">
            <w:pPr>
              <w:jc w:val="both"/>
              <w:rPr>
                <w:rFonts w:ascii="宋体" w:hAnsi="宋体"/>
                <w:color w:val="000000"/>
                <w:sz w:val="24"/>
              </w:rPr>
            </w:pPr>
          </w:p>
          <w:p w14:paraId="6939D9BC">
            <w:pPr>
              <w:jc w:val="both"/>
              <w:rPr>
                <w:rFonts w:ascii="宋体" w:hAnsi="宋体"/>
                <w:color w:val="000000"/>
                <w:sz w:val="24"/>
              </w:rPr>
            </w:pPr>
          </w:p>
          <w:p w14:paraId="1B77C2E4">
            <w:pPr>
              <w:jc w:val="both"/>
              <w:rPr>
                <w:rFonts w:ascii="宋体" w:hAnsi="宋体"/>
                <w:color w:val="000000"/>
                <w:sz w:val="24"/>
              </w:rPr>
            </w:pPr>
          </w:p>
          <w:p w14:paraId="218A876E">
            <w:pPr>
              <w:jc w:val="both"/>
              <w:rPr>
                <w:rFonts w:ascii="宋体" w:hAnsi="宋体"/>
                <w:color w:val="000000"/>
                <w:sz w:val="24"/>
              </w:rPr>
            </w:pPr>
          </w:p>
        </w:tc>
      </w:tr>
    </w:tbl>
    <w:p w14:paraId="21AB5801">
      <w:pPr>
        <w:sectPr>
          <w:pgSz w:w="11906" w:h="16838"/>
          <w:pgMar w:top="1440" w:right="1800" w:bottom="1440" w:left="1800" w:header="851" w:footer="992" w:gutter="0"/>
          <w:cols w:space="425" w:num="1"/>
          <w:docGrid w:type="lines" w:linePitch="312" w:charSpace="0"/>
        </w:sectPr>
      </w:pPr>
    </w:p>
    <w:tbl>
      <w:tblPr>
        <w:tblW w:w="110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540"/>
        <w:gridCol w:w="4713"/>
        <w:gridCol w:w="2525"/>
        <w:gridCol w:w="2288"/>
      </w:tblGrid>
      <w:tr w14:paraId="340B5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jc w:val="center"/>
        </w:trPr>
        <w:tc>
          <w:tcPr>
            <w:tcW w:w="1540" w:type="dxa"/>
            <w:tcBorders>
              <w:top w:val="single" w:color="000000" w:sz="4" w:space="0"/>
              <w:left w:val="single" w:color="000000" w:sz="8" w:space="0"/>
              <w:bottom w:val="nil"/>
              <w:right w:val="single" w:color="000000" w:sz="4" w:space="0"/>
            </w:tcBorders>
            <w:shd w:val="clear"/>
            <w:vAlign w:val="center"/>
          </w:tcPr>
          <w:p w14:paraId="122B86E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Style w:val="5"/>
                <w:rFonts w:hint="eastAsia" w:ascii="宋体" w:hAnsi="宋体" w:eastAsia="宋体" w:cs="宋体"/>
                <w:sz w:val="28"/>
                <w:szCs w:val="28"/>
                <w:bdr w:val="none" w:color="auto" w:sz="0" w:space="0"/>
                <w:lang w:val="en-US" w:eastAsia="zh-CN" w:bidi="ar"/>
              </w:rPr>
              <w:t xml:space="preserve">序号   </w:t>
            </w:r>
          </w:p>
        </w:tc>
        <w:tc>
          <w:tcPr>
            <w:tcW w:w="4713" w:type="dxa"/>
            <w:tcBorders>
              <w:top w:val="single" w:color="000000" w:sz="4" w:space="0"/>
              <w:left w:val="single" w:color="000000" w:sz="4" w:space="0"/>
              <w:bottom w:val="nil"/>
              <w:right w:val="single" w:color="000000" w:sz="4" w:space="0"/>
            </w:tcBorders>
            <w:shd w:val="clear"/>
            <w:vAlign w:val="center"/>
          </w:tcPr>
          <w:p w14:paraId="360D301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Style w:val="5"/>
                <w:rFonts w:hint="eastAsia" w:ascii="宋体" w:hAnsi="宋体" w:eastAsia="宋体" w:cs="宋体"/>
                <w:sz w:val="28"/>
                <w:szCs w:val="28"/>
                <w:bdr w:val="none" w:color="auto" w:sz="0" w:space="0"/>
                <w:lang w:val="en-US" w:eastAsia="zh-CN" w:bidi="ar"/>
              </w:rPr>
              <w:t>仪器名称</w:t>
            </w:r>
          </w:p>
        </w:tc>
        <w:tc>
          <w:tcPr>
            <w:tcW w:w="2525" w:type="dxa"/>
            <w:tcBorders>
              <w:top w:val="single" w:color="000000" w:sz="4" w:space="0"/>
              <w:left w:val="single" w:color="000000" w:sz="4" w:space="0"/>
              <w:bottom w:val="nil"/>
              <w:right w:val="single" w:color="000000" w:sz="4" w:space="0"/>
            </w:tcBorders>
            <w:shd w:val="clear"/>
            <w:vAlign w:val="center"/>
          </w:tcPr>
          <w:p w14:paraId="33C789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Style w:val="5"/>
                <w:rFonts w:hint="eastAsia" w:ascii="宋体" w:hAnsi="宋体" w:eastAsia="宋体" w:cs="宋体"/>
                <w:sz w:val="28"/>
                <w:szCs w:val="28"/>
                <w:bdr w:val="none" w:color="auto" w:sz="0" w:space="0"/>
                <w:lang w:val="en-US" w:eastAsia="zh-CN" w:bidi="ar"/>
              </w:rPr>
              <w:t>规格/型号</w:t>
            </w:r>
            <w:r>
              <w:rPr>
                <w:rStyle w:val="5"/>
                <w:rFonts w:hint="eastAsia" w:ascii="宋体" w:hAnsi="宋体" w:eastAsia="宋体" w:cs="宋体"/>
                <w:sz w:val="28"/>
                <w:szCs w:val="28"/>
                <w:bdr w:val="none" w:color="auto" w:sz="0" w:space="0"/>
                <w:lang w:val="en-US" w:eastAsia="zh-CN" w:bidi="ar"/>
              </w:rPr>
              <w:br w:type="textWrapping"/>
            </w:r>
            <w:r>
              <w:rPr>
                <w:rStyle w:val="5"/>
                <w:rFonts w:hint="eastAsia" w:ascii="宋体" w:hAnsi="宋体" w:eastAsia="宋体" w:cs="宋体"/>
                <w:sz w:val="28"/>
                <w:szCs w:val="28"/>
                <w:bdr w:val="none" w:color="auto" w:sz="0" w:space="0"/>
                <w:lang w:val="en-US" w:eastAsia="zh-CN" w:bidi="ar"/>
              </w:rPr>
              <w:t>量程/精度</w:t>
            </w:r>
            <w:r>
              <w:rPr>
                <w:rStyle w:val="5"/>
                <w:rFonts w:hint="eastAsia" w:ascii="宋体" w:hAnsi="宋体" w:eastAsia="宋体" w:cs="宋体"/>
                <w:sz w:val="28"/>
                <w:szCs w:val="28"/>
                <w:bdr w:val="none" w:color="auto" w:sz="0" w:space="0"/>
                <w:lang w:val="en-US" w:eastAsia="zh-CN" w:bidi="ar"/>
              </w:rPr>
              <w:br w:type="textWrapping"/>
            </w:r>
          </w:p>
        </w:tc>
        <w:tc>
          <w:tcPr>
            <w:tcW w:w="2288" w:type="dxa"/>
            <w:tcBorders>
              <w:top w:val="single" w:color="000000" w:sz="4" w:space="0"/>
              <w:left w:val="single" w:color="000000" w:sz="4" w:space="0"/>
              <w:bottom w:val="nil"/>
              <w:right w:val="single" w:color="000000" w:sz="4" w:space="0"/>
            </w:tcBorders>
            <w:shd w:val="clear"/>
            <w:vAlign w:val="center"/>
          </w:tcPr>
          <w:p w14:paraId="0BE6AF7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Style w:val="5"/>
                <w:rFonts w:hint="eastAsia" w:ascii="宋体" w:hAnsi="宋体" w:eastAsia="宋体" w:cs="宋体"/>
                <w:sz w:val="28"/>
                <w:szCs w:val="28"/>
                <w:bdr w:val="none" w:color="auto" w:sz="0" w:space="0"/>
                <w:lang w:val="en-US" w:eastAsia="zh-CN" w:bidi="ar"/>
              </w:rPr>
              <w:t>数量</w:t>
            </w:r>
          </w:p>
        </w:tc>
      </w:tr>
      <w:tr w14:paraId="27CE3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27CA89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w:t>
            </w:r>
          </w:p>
        </w:tc>
        <w:tc>
          <w:tcPr>
            <w:tcW w:w="4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A538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PH计</w:t>
            </w:r>
          </w:p>
        </w:tc>
        <w:tc>
          <w:tcPr>
            <w:tcW w:w="2525" w:type="dxa"/>
            <w:tcBorders>
              <w:top w:val="single" w:color="000000" w:sz="4" w:space="0"/>
              <w:left w:val="single" w:color="000000" w:sz="4" w:space="0"/>
              <w:bottom w:val="nil"/>
              <w:right w:val="single" w:color="000000" w:sz="4" w:space="0"/>
            </w:tcBorders>
            <w:shd w:val="clear" w:color="auto" w:fill="FFFFFF"/>
            <w:vAlign w:val="center"/>
          </w:tcPr>
          <w:p w14:paraId="4F58D6F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nil"/>
              <w:bottom w:val="nil"/>
              <w:right w:val="single" w:color="000000" w:sz="4" w:space="0"/>
            </w:tcBorders>
            <w:shd w:val="clear" w:color="auto" w:fill="FFFFFF"/>
            <w:vAlign w:val="center"/>
          </w:tcPr>
          <w:p w14:paraId="417B89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w:t>
            </w:r>
          </w:p>
        </w:tc>
      </w:tr>
      <w:tr w14:paraId="380B9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75FC523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2</w:t>
            </w:r>
          </w:p>
        </w:tc>
        <w:tc>
          <w:tcPr>
            <w:tcW w:w="4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9950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全自动核酸提取纯化仪</w:t>
            </w:r>
          </w:p>
        </w:tc>
        <w:tc>
          <w:tcPr>
            <w:tcW w:w="2525" w:type="dxa"/>
            <w:tcBorders>
              <w:top w:val="single" w:color="000000" w:sz="4" w:space="0"/>
              <w:left w:val="single" w:color="000000" w:sz="4" w:space="0"/>
              <w:bottom w:val="nil"/>
              <w:right w:val="single" w:color="000000" w:sz="4" w:space="0"/>
            </w:tcBorders>
            <w:shd w:val="clear" w:color="auto" w:fill="FFFFFF"/>
            <w:vAlign w:val="center"/>
          </w:tcPr>
          <w:p w14:paraId="1CE901B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nil"/>
              <w:bottom w:val="nil"/>
              <w:right w:val="single" w:color="000000" w:sz="4" w:space="0"/>
            </w:tcBorders>
            <w:shd w:val="clear" w:color="auto" w:fill="FFFFFF"/>
            <w:vAlign w:val="center"/>
          </w:tcPr>
          <w:p w14:paraId="16389C3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w:t>
            </w:r>
          </w:p>
        </w:tc>
      </w:tr>
      <w:tr w14:paraId="6EDFD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25537B4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3</w:t>
            </w:r>
          </w:p>
        </w:tc>
        <w:tc>
          <w:tcPr>
            <w:tcW w:w="4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983F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可调移液器</w:t>
            </w:r>
          </w:p>
        </w:tc>
        <w:tc>
          <w:tcPr>
            <w:tcW w:w="2525" w:type="dxa"/>
            <w:tcBorders>
              <w:top w:val="single" w:color="000000" w:sz="4" w:space="0"/>
              <w:left w:val="single" w:color="000000" w:sz="4" w:space="0"/>
              <w:bottom w:val="nil"/>
              <w:right w:val="single" w:color="000000" w:sz="4" w:space="0"/>
            </w:tcBorders>
            <w:shd w:val="clear" w:color="auto" w:fill="FFFFFF"/>
            <w:vAlign w:val="center"/>
          </w:tcPr>
          <w:p w14:paraId="72F738D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nil"/>
              <w:bottom w:val="nil"/>
              <w:right w:val="single" w:color="000000" w:sz="4" w:space="0"/>
            </w:tcBorders>
            <w:shd w:val="clear" w:color="auto" w:fill="FFFFFF"/>
            <w:vAlign w:val="center"/>
          </w:tcPr>
          <w:p w14:paraId="5C1E2B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200</w:t>
            </w:r>
          </w:p>
        </w:tc>
      </w:tr>
      <w:tr w14:paraId="74925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65E5E1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4</w:t>
            </w:r>
          </w:p>
        </w:tc>
        <w:tc>
          <w:tcPr>
            <w:tcW w:w="4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D638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数字温湿度计</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C0EB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4B9C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79</w:t>
            </w:r>
          </w:p>
        </w:tc>
      </w:tr>
      <w:tr w14:paraId="0109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4C38ADA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5</w:t>
            </w:r>
          </w:p>
        </w:tc>
        <w:tc>
          <w:tcPr>
            <w:tcW w:w="4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5E0A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呼吸机</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BD75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59F4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12</w:t>
            </w:r>
          </w:p>
        </w:tc>
      </w:tr>
      <w:tr w14:paraId="667CA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39380E7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6</w:t>
            </w:r>
          </w:p>
        </w:tc>
        <w:tc>
          <w:tcPr>
            <w:tcW w:w="4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7753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离心机</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7B96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A12F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57</w:t>
            </w:r>
          </w:p>
        </w:tc>
      </w:tr>
      <w:tr w14:paraId="4B253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60F0F9E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7</w:t>
            </w:r>
          </w:p>
        </w:tc>
        <w:tc>
          <w:tcPr>
            <w:tcW w:w="4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C601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游标卡尺</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2D0D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0E62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1</w:t>
            </w:r>
          </w:p>
        </w:tc>
      </w:tr>
      <w:tr w14:paraId="67FB8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4EA35E9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8</w:t>
            </w:r>
          </w:p>
        </w:tc>
        <w:tc>
          <w:tcPr>
            <w:tcW w:w="4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CA3D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隔水式恒温保养箱</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A71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2EB3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2</w:t>
            </w:r>
          </w:p>
        </w:tc>
      </w:tr>
      <w:tr w14:paraId="2D6CB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5462671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9</w:t>
            </w:r>
          </w:p>
        </w:tc>
        <w:tc>
          <w:tcPr>
            <w:tcW w:w="4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F9E6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输液泵</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B00E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EDBB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1</w:t>
            </w:r>
          </w:p>
        </w:tc>
      </w:tr>
      <w:tr w14:paraId="39C9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3B5EE08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10</w:t>
            </w:r>
          </w:p>
        </w:tc>
        <w:tc>
          <w:tcPr>
            <w:tcW w:w="4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B810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冰箱温度检测</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5744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E56F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115</w:t>
            </w:r>
          </w:p>
        </w:tc>
      </w:tr>
      <w:tr w14:paraId="102AA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6F7EEA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11</w:t>
            </w:r>
          </w:p>
        </w:tc>
        <w:tc>
          <w:tcPr>
            <w:tcW w:w="4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EFD2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微量紫外可见分光光度计</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3778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BAF6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1</w:t>
            </w:r>
          </w:p>
        </w:tc>
      </w:tr>
      <w:tr w14:paraId="70134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8" w:space="0"/>
              <w:bottom w:val="nil"/>
              <w:right w:val="nil"/>
            </w:tcBorders>
            <w:shd w:val="clear" w:color="auto" w:fill="FFFFFF"/>
            <w:vAlign w:val="center"/>
          </w:tcPr>
          <w:p w14:paraId="7808D9A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12</w:t>
            </w:r>
          </w:p>
        </w:tc>
        <w:tc>
          <w:tcPr>
            <w:tcW w:w="4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EED8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电子天平</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A16A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2D2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7</w:t>
            </w:r>
          </w:p>
        </w:tc>
      </w:tr>
      <w:tr w14:paraId="2F67C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2F07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13</w:t>
            </w:r>
          </w:p>
        </w:tc>
        <w:tc>
          <w:tcPr>
            <w:tcW w:w="4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FED2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PCR、血细胞、酶标仪</w:t>
            </w:r>
          </w:p>
        </w:tc>
        <w:tc>
          <w:tcPr>
            <w:tcW w:w="2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843C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w:t>
            </w:r>
          </w:p>
        </w:tc>
        <w:tc>
          <w:tcPr>
            <w:tcW w:w="2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5DE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24</w:t>
            </w:r>
          </w:p>
        </w:tc>
      </w:tr>
    </w:tbl>
    <w:p w14:paraId="5872C35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F6DE0"/>
    <w:rsid w:val="2F2D5E00"/>
    <w:rsid w:val="382316B2"/>
    <w:rsid w:val="3DD84CED"/>
    <w:rsid w:val="41F4132B"/>
    <w:rsid w:val="4AA2290B"/>
    <w:rsid w:val="69837E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99"/>
    <w:pPr>
      <w:ind w:firstLine="420" w:firstLineChars="200"/>
    </w:pPr>
  </w:style>
  <w:style w:type="character" w:customStyle="1" w:styleId="5">
    <w:name w:val="font11"/>
    <w:basedOn w:val="3"/>
    <w:uiPriority w:val="0"/>
    <w:rPr>
      <w:rFonts w:hint="eastAsia" w:ascii="宋体" w:hAnsi="宋体" w:eastAsia="宋体" w:cs="宋体"/>
      <w:b/>
      <w:bCs/>
      <w:color w:val="000000"/>
      <w:sz w:val="22"/>
      <w:szCs w:val="22"/>
      <w:u w:val="none"/>
    </w:rPr>
  </w:style>
  <w:style w:type="character" w:customStyle="1" w:styleId="6">
    <w:name w:val="font41"/>
    <w:basedOn w:val="3"/>
    <w:uiPriority w:val="0"/>
    <w:rPr>
      <w:rFonts w:hint="eastAsia" w:ascii="宋体" w:hAnsi="宋体" w:eastAsia="宋体" w:cs="宋体"/>
      <w:b/>
      <w:bCs/>
      <w:color w:val="000000"/>
      <w:sz w:val="12"/>
      <w:szCs w:val="1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402</Words>
  <Characters>493</Characters>
  <Lines>0</Lines>
  <Paragraphs>0</Paragraphs>
  <TotalTime>5</TotalTime>
  <ScaleCrop>false</ScaleCrop>
  <LinksUpToDate>false</LinksUpToDate>
  <CharactersWithSpaces>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2026-10-12T02:01:00Z</dcterms:created>
  <dc:creator>Administrator</dc:creator>
  <cp:lastModifiedBy>小小松哥哥*^o^*</cp:lastModifiedBy>
  <dcterms:modified xsi:type="dcterms:W3CDTF">2026-10-12T02:10:38Z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eyJoZGlkIjoiOWE2ZGJkYzIzZWViNGQxZDdjMmZmODA5ZTJlMGVlMzkiLCJ1c2VySWQiOiIyNTk5NzczNzYifQ==</vt:lpwstr>
  </property>
  <property fmtid="{D5CDD505-2E9C-101B-9397-08002B2CF9AE}" pid="4" name="ICV">
    <vt:lpwstr>C315F63000D6496E8EA5372955F06454_12</vt:lpwstr>
  </property>
</Properties>
</file>