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3476E">
      <w:pPr>
        <w:widowControl/>
        <w:jc w:val="left"/>
        <w:rPr>
          <w:rFonts w:ascii="宋体" w:hAnsi="宋体" w:eastAsia="宋体"/>
        </w:rPr>
      </w:pPr>
    </w:p>
    <w:tbl>
      <w:tblPr>
        <w:tblStyle w:val="16"/>
        <w:tblW w:w="10323" w:type="dxa"/>
        <w:jc w:val="center"/>
        <w:tblLayout w:type="autofit"/>
        <w:tblCellMar>
          <w:top w:w="0" w:type="dxa"/>
          <w:left w:w="108" w:type="dxa"/>
          <w:bottom w:w="0" w:type="dxa"/>
          <w:right w:w="108" w:type="dxa"/>
        </w:tblCellMar>
      </w:tblPr>
      <w:tblGrid>
        <w:gridCol w:w="578"/>
        <w:gridCol w:w="4812"/>
        <w:gridCol w:w="4933"/>
      </w:tblGrid>
      <w:tr w14:paraId="5671976D">
        <w:tblPrEx>
          <w:tblCellMar>
            <w:top w:w="0" w:type="dxa"/>
            <w:left w:w="108" w:type="dxa"/>
            <w:bottom w:w="0" w:type="dxa"/>
            <w:right w:w="108" w:type="dxa"/>
          </w:tblCellMar>
        </w:tblPrEx>
        <w:trPr>
          <w:trHeight w:val="703" w:hRule="atLeast"/>
          <w:jc w:val="center"/>
        </w:trPr>
        <w:tc>
          <w:tcPr>
            <w:tcW w:w="10323" w:type="dxa"/>
            <w:gridSpan w:val="3"/>
            <w:tcBorders>
              <w:top w:val="nil"/>
              <w:left w:val="nil"/>
              <w:bottom w:val="nil"/>
              <w:right w:val="nil"/>
            </w:tcBorders>
            <w:vAlign w:val="center"/>
          </w:tcPr>
          <w:p w14:paraId="63448365">
            <w:pPr>
              <w:widowControl/>
              <w:jc w:val="center"/>
              <w:textAlignment w:val="center"/>
              <w:rPr>
                <w:rFonts w:ascii="宋体" w:hAnsi="宋体" w:eastAsia="宋体"/>
                <w:b/>
                <w:bCs/>
                <w:color w:val="000000"/>
                <w:sz w:val="40"/>
                <w:szCs w:val="40"/>
                <w:highlight w:val="none"/>
              </w:rPr>
            </w:pPr>
            <w:r>
              <w:rPr>
                <w:rFonts w:hint="eastAsia" w:ascii="宋体" w:hAnsi="宋体" w:eastAsia="宋体"/>
                <w:b/>
                <w:bCs/>
                <w:color w:val="000000"/>
                <w:kern w:val="0"/>
                <w:sz w:val="44"/>
                <w:szCs w:val="44"/>
                <w:highlight w:val="none"/>
              </w:rPr>
              <w:t>采购需求表</w:t>
            </w:r>
          </w:p>
        </w:tc>
      </w:tr>
      <w:tr w14:paraId="5519FA71">
        <w:tblPrEx>
          <w:tblCellMar>
            <w:top w:w="0" w:type="dxa"/>
            <w:left w:w="108" w:type="dxa"/>
            <w:bottom w:w="0" w:type="dxa"/>
            <w:right w:w="108" w:type="dxa"/>
          </w:tblCellMar>
        </w:tblPrEx>
        <w:trPr>
          <w:trHeight w:val="703" w:hRule="atLeast"/>
          <w:jc w:val="center"/>
        </w:trPr>
        <w:tc>
          <w:tcPr>
            <w:tcW w:w="578" w:type="dxa"/>
            <w:tcBorders>
              <w:top w:val="single" w:color="000000" w:sz="4" w:space="0"/>
              <w:left w:val="single" w:color="000000" w:sz="4" w:space="0"/>
              <w:right w:val="single" w:color="000000" w:sz="4" w:space="0"/>
            </w:tcBorders>
            <w:vAlign w:val="center"/>
          </w:tcPr>
          <w:p w14:paraId="500F010C">
            <w:pPr>
              <w:widowControl/>
              <w:jc w:val="left"/>
              <w:rPr>
                <w:rFonts w:ascii="宋体" w:hAnsi="宋体" w:eastAsia="宋体" w:cs="宋体"/>
                <w:color w:val="000000"/>
                <w:sz w:val="32"/>
                <w:szCs w:val="32"/>
                <w:highlight w:val="none"/>
              </w:rPr>
            </w:pPr>
          </w:p>
        </w:tc>
        <w:tc>
          <w:tcPr>
            <w:tcW w:w="4812" w:type="dxa"/>
            <w:tcBorders>
              <w:top w:val="single" w:color="000000" w:sz="4" w:space="0"/>
              <w:left w:val="nil"/>
              <w:bottom w:val="single" w:color="000000" w:sz="4" w:space="0"/>
              <w:right w:val="single" w:color="000000" w:sz="4" w:space="0"/>
            </w:tcBorders>
            <w:vAlign w:val="center"/>
          </w:tcPr>
          <w:p w14:paraId="6AA7F88E">
            <w:pPr>
              <w:widowControl/>
              <w:spacing w:line="240" w:lineRule="exact"/>
              <w:contextualSpacing/>
              <w:jc w:val="center"/>
              <w:textAlignment w:val="center"/>
              <w:rPr>
                <w:rFonts w:ascii="宋体" w:hAnsi="宋体" w:eastAsia="宋体"/>
                <w:color w:val="000000"/>
                <w:kern w:val="0"/>
                <w:sz w:val="24"/>
                <w:szCs w:val="24"/>
                <w:highlight w:val="none"/>
              </w:rPr>
            </w:pPr>
            <w:r>
              <w:rPr>
                <w:rFonts w:hint="eastAsia" w:ascii="宋体" w:hAnsi="宋体" w:eastAsia="宋体"/>
                <w:color w:val="000000"/>
                <w:kern w:val="0"/>
                <w:sz w:val="24"/>
                <w:szCs w:val="24"/>
                <w:highlight w:val="none"/>
              </w:rPr>
              <w:t>项目名称</w:t>
            </w:r>
          </w:p>
        </w:tc>
        <w:tc>
          <w:tcPr>
            <w:tcW w:w="4933" w:type="dxa"/>
            <w:tcBorders>
              <w:top w:val="single" w:color="000000" w:sz="4" w:space="0"/>
              <w:left w:val="nil"/>
              <w:bottom w:val="single" w:color="000000" w:sz="4" w:space="0"/>
              <w:right w:val="single" w:color="000000" w:sz="4" w:space="0"/>
            </w:tcBorders>
            <w:vAlign w:val="center"/>
          </w:tcPr>
          <w:p w14:paraId="48F75F90">
            <w:pPr>
              <w:spacing w:line="240" w:lineRule="exact"/>
              <w:contextualSpacing/>
              <w:jc w:val="center"/>
              <w:rPr>
                <w:rFonts w:ascii="宋体" w:hAnsi="宋体" w:eastAsia="宋体"/>
                <w:bCs/>
                <w:color w:val="000000"/>
                <w:sz w:val="24"/>
                <w:szCs w:val="24"/>
                <w:highlight w:val="none"/>
              </w:rPr>
            </w:pPr>
            <w:r>
              <w:rPr>
                <w:rFonts w:hint="eastAsia" w:ascii="宋体" w:hAnsi="宋体" w:eastAsia="宋体"/>
                <w:bCs/>
                <w:color w:val="000000"/>
                <w:sz w:val="24"/>
                <w:szCs w:val="24"/>
                <w:highlight w:val="none"/>
              </w:rPr>
              <w:t>电生理系统运维保养</w:t>
            </w:r>
          </w:p>
        </w:tc>
      </w:tr>
      <w:tr w14:paraId="78099069">
        <w:tblPrEx>
          <w:tblCellMar>
            <w:top w:w="0" w:type="dxa"/>
            <w:left w:w="108" w:type="dxa"/>
            <w:bottom w:w="0" w:type="dxa"/>
            <w:right w:w="108" w:type="dxa"/>
          </w:tblCellMar>
        </w:tblPrEx>
        <w:trPr>
          <w:trHeight w:val="547" w:hRule="atLeast"/>
          <w:jc w:val="center"/>
        </w:trPr>
        <w:tc>
          <w:tcPr>
            <w:tcW w:w="578" w:type="dxa"/>
            <w:vMerge w:val="restart"/>
            <w:tcBorders>
              <w:top w:val="nil"/>
              <w:left w:val="single" w:color="000000" w:sz="4" w:space="0"/>
              <w:bottom w:val="single" w:color="000000" w:sz="4" w:space="0"/>
              <w:right w:val="single" w:color="000000" w:sz="4" w:space="0"/>
            </w:tcBorders>
            <w:vAlign w:val="center"/>
          </w:tcPr>
          <w:p w14:paraId="70FD1F09">
            <w:pPr>
              <w:widowControl/>
              <w:spacing w:line="360" w:lineRule="auto"/>
              <w:jc w:val="left"/>
              <w:textAlignment w:val="center"/>
              <w:rPr>
                <w:rFonts w:ascii="宋体" w:hAnsi="宋体" w:eastAsia="宋体"/>
                <w:b/>
                <w:bCs/>
                <w:color w:val="000000"/>
                <w:sz w:val="32"/>
                <w:szCs w:val="32"/>
                <w:highlight w:val="none"/>
              </w:rPr>
            </w:pPr>
            <w:r>
              <w:rPr>
                <w:rFonts w:hint="eastAsia" w:ascii="宋体" w:hAnsi="宋体" w:eastAsia="宋体"/>
                <w:b/>
                <w:bCs/>
                <w:color w:val="000000"/>
                <w:spacing w:val="40"/>
                <w:kern w:val="0"/>
                <w:sz w:val="28"/>
                <w:szCs w:val="28"/>
                <w:highlight w:val="none"/>
              </w:rPr>
              <w:t>参数需</w:t>
            </w:r>
            <w:r>
              <w:rPr>
                <w:rFonts w:hint="eastAsia" w:ascii="宋体" w:hAnsi="宋体" w:eastAsia="宋体"/>
                <w:b/>
                <w:bCs/>
                <w:color w:val="000000"/>
                <w:kern w:val="0"/>
                <w:sz w:val="28"/>
                <w:szCs w:val="28"/>
                <w:highlight w:val="none"/>
              </w:rPr>
              <w:t>求</w:t>
            </w:r>
          </w:p>
        </w:tc>
        <w:tc>
          <w:tcPr>
            <w:tcW w:w="4812" w:type="dxa"/>
            <w:tcBorders>
              <w:top w:val="single" w:color="000000" w:sz="4" w:space="0"/>
              <w:left w:val="nil"/>
              <w:bottom w:val="single" w:color="000000" w:sz="4" w:space="0"/>
              <w:right w:val="single" w:color="000000" w:sz="4" w:space="0"/>
            </w:tcBorders>
            <w:vAlign w:val="center"/>
          </w:tcPr>
          <w:p w14:paraId="399C9880">
            <w:pPr>
              <w:widowControl/>
              <w:jc w:val="center"/>
              <w:textAlignment w:val="center"/>
              <w:rPr>
                <w:rFonts w:ascii="宋体" w:hAnsi="宋体" w:eastAsia="宋体"/>
                <w:color w:val="000000"/>
                <w:kern w:val="0"/>
                <w:sz w:val="24"/>
                <w:szCs w:val="24"/>
                <w:highlight w:val="none"/>
              </w:rPr>
            </w:pPr>
            <w:r>
              <w:rPr>
                <w:rFonts w:hint="eastAsia" w:ascii="宋体" w:hAnsi="宋体" w:eastAsia="宋体"/>
                <w:color w:val="000000"/>
                <w:kern w:val="0"/>
                <w:sz w:val="24"/>
                <w:szCs w:val="24"/>
                <w:highlight w:val="none"/>
              </w:rPr>
              <w:t>技术和性能参数需求</w:t>
            </w:r>
          </w:p>
        </w:tc>
        <w:tc>
          <w:tcPr>
            <w:tcW w:w="4933" w:type="dxa"/>
            <w:tcBorders>
              <w:top w:val="single" w:color="000000" w:sz="4" w:space="0"/>
              <w:left w:val="nil"/>
              <w:bottom w:val="single" w:color="000000" w:sz="4" w:space="0"/>
              <w:right w:val="single" w:color="000000" w:sz="4" w:space="0"/>
            </w:tcBorders>
            <w:vAlign w:val="center"/>
          </w:tcPr>
          <w:p w14:paraId="479346A2">
            <w:pPr>
              <w:widowControl/>
              <w:jc w:val="center"/>
              <w:textAlignment w:val="center"/>
              <w:rPr>
                <w:rFonts w:ascii="宋体" w:hAnsi="宋体" w:eastAsia="宋体"/>
                <w:color w:val="000000"/>
                <w:kern w:val="0"/>
                <w:sz w:val="24"/>
                <w:szCs w:val="24"/>
                <w:highlight w:val="none"/>
              </w:rPr>
            </w:pPr>
            <w:r>
              <w:rPr>
                <w:rFonts w:hint="eastAsia" w:ascii="宋体" w:hAnsi="宋体" w:eastAsia="宋体"/>
                <w:color w:val="000000"/>
                <w:kern w:val="0"/>
                <w:sz w:val="24"/>
                <w:szCs w:val="24"/>
                <w:highlight w:val="none"/>
              </w:rPr>
              <w:t>配置需求</w:t>
            </w:r>
          </w:p>
        </w:tc>
      </w:tr>
      <w:tr w14:paraId="2F31DF57">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21F60B00">
            <w:pPr>
              <w:widowControl/>
              <w:jc w:val="left"/>
              <w:rPr>
                <w:rFonts w:ascii="宋体" w:hAnsi="宋体" w:eastAsia="宋体" w:cs="宋体"/>
                <w:b/>
                <w:bCs/>
                <w:color w:val="000000"/>
                <w:sz w:val="32"/>
                <w:szCs w:val="32"/>
                <w:highlight w:val="none"/>
              </w:rPr>
            </w:pPr>
          </w:p>
        </w:tc>
        <w:tc>
          <w:tcPr>
            <w:tcW w:w="4812" w:type="dxa"/>
            <w:vMerge w:val="restart"/>
            <w:tcBorders>
              <w:top w:val="nil"/>
              <w:left w:val="nil"/>
              <w:bottom w:val="single" w:color="000000" w:sz="4" w:space="0"/>
              <w:right w:val="single" w:color="000000" w:sz="4" w:space="0"/>
            </w:tcBorders>
            <w:vAlign w:val="center"/>
          </w:tcPr>
          <w:p w14:paraId="5EB925CA">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1、</w:t>
            </w:r>
            <w:r>
              <w:rPr>
                <w:rFonts w:hint="eastAsia" w:ascii="宋体" w:hAnsi="宋体" w:eastAsia="宋体" w:cs="宋体"/>
                <w:color w:val="auto"/>
                <w:sz w:val="18"/>
                <w:szCs w:val="18"/>
                <w:highlight w:val="none"/>
              </w:rPr>
              <w:t>维护对象：心电电生理系统</w:t>
            </w:r>
          </w:p>
          <w:p w14:paraId="57B37159">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2、维保期限：1年</w:t>
            </w:r>
          </w:p>
          <w:p w14:paraId="7FEB917E">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、维护方式</w:t>
            </w:r>
          </w:p>
          <w:p w14:paraId="037CD333">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1）</w:t>
            </w:r>
            <w:r>
              <w:rPr>
                <w:rFonts w:hint="eastAsia" w:ascii="宋体" w:hAnsi="宋体" w:eastAsia="宋体" w:cs="宋体"/>
                <w:color w:val="auto"/>
                <w:sz w:val="18"/>
                <w:szCs w:val="18"/>
                <w:highlight w:val="none"/>
              </w:rPr>
              <w:t>提供7*24小时技术支持(含节假日)，需指定维护工程师，如遇系统故障，电话实时响应，保证医院工作的正常运行。</w:t>
            </w:r>
          </w:p>
          <w:p w14:paraId="2CD0E9C3">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远程服务：当电话、邮件支持不足以解决问题或故障情况比较复杂时，需技术人员在医院技术人员的协助下，通过远程登录的方式登录进入医院指定的系统。技术人员在医院技术人员的协助下确定故障原因，找出解决的方法予以解决，完成该次服务</w:t>
            </w:r>
            <w:r>
              <w:rPr>
                <w:rFonts w:hint="eastAsia" w:ascii="宋体" w:hAnsi="宋体" w:eastAsia="宋体" w:cs="宋体"/>
                <w:color w:val="auto"/>
                <w:sz w:val="18"/>
                <w:szCs w:val="18"/>
                <w:highlight w:val="none"/>
                <w:lang w:eastAsia="zh-CN"/>
              </w:rPr>
              <w:t>。</w:t>
            </w:r>
          </w:p>
          <w:p w14:paraId="279B2A00">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现场服务：</w:t>
            </w:r>
            <w:r>
              <w:rPr>
                <w:rFonts w:hint="eastAsia" w:ascii="宋体" w:hAnsi="宋体" w:eastAsia="宋体" w:cs="宋体"/>
                <w:color w:val="auto"/>
                <w:sz w:val="18"/>
                <w:szCs w:val="18"/>
                <w:highlight w:val="none"/>
                <w:lang w:val="en-US" w:eastAsia="zh-CN"/>
              </w:rPr>
              <w:t>固定时间（每周1次）到医院进行现场运维工作，以签到为准。</w:t>
            </w:r>
            <w:r>
              <w:rPr>
                <w:rFonts w:hint="eastAsia" w:ascii="宋体" w:hAnsi="宋体" w:eastAsia="宋体" w:cs="宋体"/>
                <w:color w:val="auto"/>
                <w:sz w:val="18"/>
                <w:szCs w:val="18"/>
                <w:highlight w:val="none"/>
              </w:rPr>
              <w:t>由于环境、设备、人为等原因，通过电话无法排除的故障时，应在医院发出故障信息通知后2小时内派遣工程师到达现场，协助恢复系统的运行，并在排除故障后1日内将故障原因、解决办法、处理结果上报给医院</w:t>
            </w:r>
            <w:r>
              <w:rPr>
                <w:rFonts w:hint="eastAsia" w:ascii="宋体" w:hAnsi="宋体" w:eastAsia="宋体" w:cs="宋体"/>
                <w:color w:val="auto"/>
                <w:sz w:val="18"/>
                <w:szCs w:val="18"/>
                <w:highlight w:val="none"/>
                <w:lang w:eastAsia="zh-CN"/>
              </w:rPr>
              <w:t>。</w:t>
            </w:r>
          </w:p>
          <w:p w14:paraId="3140B366">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3、维护内容</w:t>
            </w:r>
          </w:p>
          <w:p w14:paraId="226F9519">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1)日常维护：因系统缺陷导致的各种BUG的修复、因误操作导致的数据错误维护等;突发系统故障响应、诊断、排除；</w:t>
            </w:r>
          </w:p>
          <w:p w14:paraId="48CD92B1">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接口运维保障</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保障现有全部接口稳定连通；接口报文异常、数据传输中断及时排查；院内流程调整配合调试接口；</w:t>
            </w:r>
            <w:r>
              <w:rPr>
                <w:rFonts w:hint="eastAsia" w:ascii="宋体" w:hAnsi="宋体" w:eastAsia="宋体" w:cs="宋体"/>
                <w:color w:val="auto"/>
                <w:sz w:val="18"/>
                <w:szCs w:val="18"/>
                <w:highlight w:val="none"/>
                <w:lang w:eastAsia="zh-CN"/>
              </w:rPr>
              <w:t>后续将</w:t>
            </w:r>
            <w:r>
              <w:rPr>
                <w:rFonts w:hint="eastAsia" w:ascii="宋体" w:hAnsi="宋体" w:eastAsia="宋体" w:cs="宋体"/>
                <w:color w:val="auto"/>
                <w:sz w:val="18"/>
                <w:szCs w:val="18"/>
                <w:highlight w:val="none"/>
              </w:rPr>
              <w:t>新增定制接口</w:t>
            </w:r>
            <w:r>
              <w:rPr>
                <w:rFonts w:hint="eastAsia" w:ascii="宋体" w:hAnsi="宋体" w:eastAsia="宋体" w:cs="宋体"/>
                <w:color w:val="auto"/>
                <w:sz w:val="18"/>
                <w:szCs w:val="18"/>
                <w:highlight w:val="none"/>
                <w:lang w:eastAsia="zh-CN"/>
              </w:rPr>
              <w:t>：</w:t>
            </w:r>
          </w:p>
          <w:p w14:paraId="1BA107CF">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)功能优化服务：完善现有系统功能优化；</w:t>
            </w:r>
          </w:p>
          <w:p w14:paraId="0BB557AF">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)系统巡检服务：定期（含每月、国家法定节假日前、重保期间等）巡检系统服务状态，及时向医院汇报系统服务运行情况，每次巡检结束后向医院提交巡检报告；</w:t>
            </w:r>
          </w:p>
          <w:p w14:paraId="7B7CEC7E">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5）系统安全巡查及漏洞修复服务：配合医院完成</w:t>
            </w:r>
            <w:r>
              <w:rPr>
                <w:rFonts w:hint="eastAsia" w:ascii="宋体" w:hAnsi="宋体" w:eastAsia="宋体" w:cs="宋体"/>
                <w:sz w:val="18"/>
                <w:szCs w:val="32"/>
                <w:highlight w:val="none"/>
              </w:rPr>
              <w:t>心电电生理信息系统</w:t>
            </w:r>
            <w:r>
              <w:rPr>
                <w:rFonts w:hint="eastAsia" w:ascii="宋体" w:hAnsi="宋体" w:eastAsia="宋体" w:cs="宋体"/>
                <w:color w:val="auto"/>
                <w:sz w:val="18"/>
                <w:szCs w:val="18"/>
                <w:highlight w:val="none"/>
                <w:lang w:val="en-US" w:eastAsia="zh-CN"/>
              </w:rPr>
              <w:t>安全巡查、漏洞扫描工作，对发现的系统漏洞及时完成修复加固，提交巡查及整改相关文档。</w:t>
            </w:r>
          </w:p>
          <w:p w14:paraId="46F192FD">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)系统迁移服务：根据需要，配合医院完成服务器的切换工作，包含数据库的迁移和系统的迁移等；</w:t>
            </w:r>
          </w:p>
          <w:p w14:paraId="3CA0D983">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7</w:t>
            </w:r>
            <w:r>
              <w:rPr>
                <w:rFonts w:hint="eastAsia" w:ascii="宋体" w:hAnsi="宋体" w:eastAsia="宋体" w:cs="宋体"/>
                <w:color w:val="auto"/>
                <w:sz w:val="18"/>
                <w:szCs w:val="18"/>
                <w:highlight w:val="none"/>
              </w:rPr>
              <w:t>)数据修复服务：如因系统原因造成系统数据丢失，需负责恢复数据。在原始数据没有灭失的情况下，负责查找系统中出错的数据，并进行修正。</w:t>
            </w:r>
          </w:p>
          <w:p w14:paraId="01C55C1F">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8</w:t>
            </w:r>
            <w:r>
              <w:rPr>
                <w:rFonts w:hint="eastAsia" w:ascii="宋体" w:hAnsi="宋体" w:eastAsia="宋体" w:cs="宋体"/>
                <w:color w:val="auto"/>
                <w:sz w:val="18"/>
                <w:szCs w:val="18"/>
                <w:highlight w:val="none"/>
              </w:rPr>
              <w:t>)系统咨询服务：帮助解答医院提出的相关各种业务和技术问题，包括技术咨询、指导和信息提供等；</w:t>
            </w:r>
          </w:p>
          <w:p w14:paraId="0B6BC976">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)培训服务：因系统升级、功能调整等，对相应的人员进行系统培训；对新入职人员进行系统使用培训，使其能够进行日常工作；</w:t>
            </w:r>
          </w:p>
          <w:p w14:paraId="0B243159">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10</w:t>
            </w:r>
            <w:r>
              <w:rPr>
                <w:rFonts w:hint="eastAsia" w:ascii="宋体" w:hAnsi="宋体" w:eastAsia="宋体" w:cs="宋体"/>
                <w:color w:val="auto"/>
                <w:sz w:val="18"/>
                <w:szCs w:val="18"/>
                <w:highlight w:val="none"/>
              </w:rPr>
              <w:t>)其他服务：应急处理服务</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上级政策性要求</w:t>
            </w:r>
            <w:r>
              <w:rPr>
                <w:rFonts w:hint="eastAsia" w:ascii="宋体" w:hAnsi="宋体" w:eastAsia="宋体" w:cs="宋体"/>
                <w:color w:val="auto"/>
                <w:sz w:val="18"/>
                <w:szCs w:val="18"/>
                <w:highlight w:val="none"/>
              </w:rPr>
              <w:t>等；</w:t>
            </w:r>
          </w:p>
          <w:p w14:paraId="03D8944D">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4、考核要求</w:t>
            </w:r>
          </w:p>
          <w:p w14:paraId="359F661F">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1）</w:t>
            </w:r>
            <w:r>
              <w:rPr>
                <w:rFonts w:hint="eastAsia" w:ascii="宋体" w:hAnsi="宋体" w:eastAsia="宋体" w:cs="宋体"/>
                <w:color w:val="auto"/>
                <w:sz w:val="18"/>
                <w:szCs w:val="18"/>
                <w:highlight w:val="none"/>
              </w:rPr>
              <w:t>处理问题响应及时有效，</w:t>
            </w:r>
            <w:r>
              <w:rPr>
                <w:rFonts w:hint="eastAsia" w:ascii="宋体" w:hAnsi="宋体" w:eastAsia="宋体" w:cs="宋体"/>
                <w:color w:val="auto"/>
                <w:sz w:val="18"/>
                <w:szCs w:val="18"/>
                <w:highlight w:val="none"/>
                <w:lang w:val="en-US" w:eastAsia="zh-CN"/>
              </w:rPr>
              <w:t>运维</w:t>
            </w:r>
            <w:r>
              <w:rPr>
                <w:rFonts w:hint="eastAsia" w:ascii="宋体" w:hAnsi="宋体" w:eastAsia="宋体" w:cs="宋体"/>
                <w:color w:val="auto"/>
                <w:sz w:val="18"/>
                <w:szCs w:val="18"/>
                <w:highlight w:val="none"/>
              </w:rPr>
              <w:t>服务未按指定时间响应，</w:t>
            </w:r>
            <w:r>
              <w:rPr>
                <w:rFonts w:hint="eastAsia" w:ascii="宋体" w:hAnsi="宋体" w:eastAsia="宋体" w:cs="宋体"/>
                <w:color w:val="auto"/>
                <w:sz w:val="18"/>
                <w:szCs w:val="18"/>
                <w:highlight w:val="none"/>
                <w:lang w:val="en-US" w:eastAsia="zh-CN"/>
              </w:rPr>
              <w:t>按合同约定处理</w:t>
            </w:r>
            <w:r>
              <w:rPr>
                <w:rFonts w:hint="eastAsia" w:ascii="宋体" w:hAnsi="宋体" w:eastAsia="宋体" w:cs="宋体"/>
                <w:color w:val="auto"/>
                <w:sz w:val="18"/>
                <w:szCs w:val="18"/>
                <w:highlight w:val="none"/>
              </w:rPr>
              <w:t>；</w:t>
            </w:r>
          </w:p>
          <w:p w14:paraId="669DF290">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用户评价调查满意度要求大于9</w:t>
            </w:r>
            <w:r>
              <w:rPr>
                <w:rFonts w:hint="eastAsia" w:ascii="宋体" w:hAnsi="宋体" w:eastAsia="宋体" w:cs="宋体"/>
                <w:color w:val="auto"/>
                <w:sz w:val="18"/>
                <w:szCs w:val="18"/>
                <w:highlight w:val="none"/>
                <w:lang w:val="en-US" w:eastAsia="zh-CN"/>
              </w:rPr>
              <w:t>5%。若</w:t>
            </w:r>
            <w:r>
              <w:rPr>
                <w:rFonts w:hint="eastAsia" w:ascii="宋体" w:hAnsi="宋体" w:eastAsia="宋体" w:cs="宋体"/>
                <w:color w:val="auto"/>
                <w:sz w:val="18"/>
                <w:szCs w:val="18"/>
                <w:highlight w:val="none"/>
              </w:rPr>
              <w:t>用户满意度低于指标要求，</w:t>
            </w:r>
            <w:r>
              <w:rPr>
                <w:rFonts w:hint="eastAsia" w:ascii="宋体" w:hAnsi="宋体" w:eastAsia="宋体" w:cs="宋体"/>
                <w:color w:val="auto"/>
                <w:sz w:val="18"/>
                <w:szCs w:val="18"/>
                <w:highlight w:val="none"/>
                <w:lang w:val="en-US" w:eastAsia="zh-CN"/>
              </w:rPr>
              <w:t>按合同约定处理。</w:t>
            </w:r>
          </w:p>
          <w:p w14:paraId="600F509A">
            <w:pPr>
              <w:pageBreakBefore w:val="0"/>
              <w:widowControl w:val="0"/>
              <w:kinsoku/>
              <w:wordWrap/>
              <w:overflowPunct/>
              <w:topLinePunct w:val="0"/>
              <w:autoSpaceDE/>
              <w:autoSpaceDN/>
              <w:bidi w:val="0"/>
              <w:adjustRightInd/>
              <w:snapToGrid/>
              <w:textAlignment w:val="auto"/>
              <w:rPr>
                <w:highlight w:val="none"/>
              </w:rPr>
            </w:pPr>
            <w:r>
              <w:rPr>
                <w:rFonts w:hint="eastAsia" w:ascii="宋体" w:hAnsi="宋体" w:eastAsia="宋体" w:cs="宋体"/>
                <w:color w:val="auto"/>
                <w:sz w:val="18"/>
                <w:szCs w:val="18"/>
                <w:highlight w:val="none"/>
                <w:lang w:val="en-US" w:eastAsia="zh-CN"/>
              </w:rPr>
              <w:t>3）因运维服务导致的</w:t>
            </w:r>
            <w:r>
              <w:rPr>
                <w:rFonts w:hint="eastAsia" w:ascii="宋体" w:hAnsi="宋体" w:eastAsia="宋体" w:cs="宋体"/>
                <w:color w:val="auto"/>
                <w:sz w:val="18"/>
                <w:szCs w:val="18"/>
                <w:highlight w:val="none"/>
              </w:rPr>
              <w:t>用户投诉</w:t>
            </w:r>
            <w:r>
              <w:rPr>
                <w:rFonts w:hint="eastAsia" w:ascii="宋体" w:hAnsi="宋体" w:eastAsia="宋体" w:cs="宋体"/>
                <w:color w:val="auto"/>
                <w:sz w:val="18"/>
                <w:szCs w:val="18"/>
                <w:highlight w:val="none"/>
                <w:lang w:val="en-US" w:eastAsia="zh-CN"/>
              </w:rPr>
              <w:t>或不良事件</w:t>
            </w:r>
            <w:r>
              <w:rPr>
                <w:rFonts w:hint="eastAsia" w:ascii="宋体" w:hAnsi="宋体" w:eastAsia="宋体" w:cs="宋体"/>
                <w:color w:val="auto"/>
                <w:sz w:val="18"/>
                <w:szCs w:val="18"/>
                <w:highlight w:val="none"/>
              </w:rPr>
              <w:t>，一经查实，</w:t>
            </w:r>
            <w:r>
              <w:rPr>
                <w:rFonts w:hint="eastAsia" w:ascii="宋体" w:hAnsi="宋体" w:eastAsia="宋体" w:cs="宋体"/>
                <w:color w:val="auto"/>
                <w:sz w:val="18"/>
                <w:szCs w:val="18"/>
                <w:highlight w:val="none"/>
                <w:lang w:val="en-US" w:eastAsia="zh-CN"/>
              </w:rPr>
              <w:t>按合同约定处理</w:t>
            </w:r>
            <w:r>
              <w:rPr>
                <w:rFonts w:hint="eastAsia" w:ascii="宋体" w:hAnsi="宋体" w:eastAsia="宋体" w:cs="宋体"/>
                <w:color w:val="auto"/>
                <w:sz w:val="18"/>
                <w:szCs w:val="18"/>
                <w:highlight w:val="none"/>
              </w:rPr>
              <w:t>；</w:t>
            </w:r>
          </w:p>
        </w:tc>
        <w:tc>
          <w:tcPr>
            <w:tcW w:w="4933" w:type="dxa"/>
            <w:vMerge w:val="restart"/>
            <w:tcBorders>
              <w:top w:val="nil"/>
              <w:left w:val="nil"/>
              <w:bottom w:val="single" w:color="000000" w:sz="4" w:space="0"/>
              <w:right w:val="single" w:color="000000" w:sz="4" w:space="0"/>
            </w:tcBorders>
            <w:vAlign w:val="center"/>
          </w:tcPr>
          <w:p w14:paraId="2C5580EF">
            <w:pPr>
              <w:rPr>
                <w:rFonts w:hint="eastAsia" w:ascii="宋体" w:hAnsi="宋体" w:eastAsia="宋体" w:cs="宋体"/>
                <w:sz w:val="18"/>
                <w:szCs w:val="32"/>
                <w:highlight w:val="none"/>
              </w:rPr>
            </w:pPr>
            <w:r>
              <w:rPr>
                <w:rFonts w:hint="eastAsia" w:ascii="宋体" w:hAnsi="宋体" w:eastAsia="宋体" w:cs="宋体"/>
                <w:sz w:val="18"/>
                <w:szCs w:val="32"/>
                <w:highlight w:val="none"/>
              </w:rPr>
              <w:t>一、公司资质要求</w:t>
            </w:r>
          </w:p>
          <w:p w14:paraId="7896B22D">
            <w:pPr>
              <w:rPr>
                <w:rFonts w:hint="eastAsia" w:ascii="宋体" w:hAnsi="宋体" w:eastAsia="宋体" w:cs="宋体"/>
                <w:sz w:val="18"/>
                <w:szCs w:val="32"/>
                <w:highlight w:val="none"/>
              </w:rPr>
            </w:pPr>
            <w:r>
              <w:rPr>
                <w:rFonts w:hint="eastAsia" w:ascii="宋体" w:hAnsi="宋体" w:eastAsia="宋体" w:cs="宋体"/>
                <w:sz w:val="18"/>
                <w:szCs w:val="32"/>
                <w:highlight w:val="none"/>
                <w:lang w:val="en-US" w:eastAsia="zh-CN"/>
              </w:rPr>
              <w:t>1、</w:t>
            </w:r>
            <w:r>
              <w:rPr>
                <w:rFonts w:hint="eastAsia" w:ascii="宋体" w:hAnsi="宋体" w:eastAsia="宋体" w:cs="宋体"/>
                <w:sz w:val="18"/>
                <w:szCs w:val="32"/>
                <w:highlight w:val="none"/>
              </w:rPr>
              <w:t>投标人须具备三年及以上</w:t>
            </w:r>
            <w:r>
              <w:rPr>
                <w:rFonts w:hint="eastAsia" w:ascii="宋体" w:hAnsi="宋体" w:eastAsia="宋体" w:cs="宋体"/>
                <w:sz w:val="18"/>
                <w:szCs w:val="32"/>
                <w:highlight w:val="none"/>
                <w:lang w:val="en-US" w:eastAsia="zh-CN"/>
              </w:rPr>
              <w:t>三甲医院</w:t>
            </w:r>
            <w:r>
              <w:rPr>
                <w:rFonts w:hint="eastAsia" w:ascii="宋体" w:hAnsi="宋体" w:eastAsia="宋体" w:cs="宋体"/>
                <w:sz w:val="18"/>
                <w:szCs w:val="32"/>
                <w:highlight w:val="none"/>
              </w:rPr>
              <w:t>心电电生理信息系统运维服务实施经验。</w:t>
            </w:r>
          </w:p>
          <w:p w14:paraId="779BA8CD">
            <w:pPr>
              <w:rPr>
                <w:rFonts w:hint="eastAsia" w:ascii="宋体" w:hAnsi="宋体" w:eastAsia="宋体" w:cs="宋体"/>
                <w:sz w:val="18"/>
                <w:szCs w:val="32"/>
                <w:highlight w:val="none"/>
              </w:rPr>
            </w:pPr>
            <w:r>
              <w:rPr>
                <w:rFonts w:hint="eastAsia" w:ascii="宋体" w:hAnsi="宋体" w:eastAsia="宋体" w:cs="宋体"/>
                <w:sz w:val="18"/>
                <w:szCs w:val="32"/>
                <w:highlight w:val="none"/>
              </w:rPr>
              <w:t>二、运维人员配置要求</w:t>
            </w:r>
          </w:p>
          <w:p w14:paraId="198AD85B">
            <w:pPr>
              <w:rPr>
                <w:rFonts w:hint="eastAsia" w:ascii="宋体" w:hAnsi="宋体" w:eastAsia="宋体" w:cs="宋体"/>
                <w:sz w:val="18"/>
                <w:szCs w:val="32"/>
                <w:highlight w:val="none"/>
              </w:rPr>
            </w:pPr>
            <w:r>
              <w:rPr>
                <w:rFonts w:hint="eastAsia" w:ascii="宋体" w:hAnsi="宋体" w:eastAsia="宋体" w:cs="宋体"/>
                <w:sz w:val="18"/>
                <w:szCs w:val="32"/>
                <w:highlight w:val="none"/>
                <w:lang w:val="en-US" w:eastAsia="zh-CN"/>
              </w:rPr>
              <w:t>1、</w:t>
            </w:r>
            <w:r>
              <w:rPr>
                <w:rFonts w:hint="eastAsia" w:ascii="宋体" w:hAnsi="宋体" w:eastAsia="宋体" w:cs="宋体"/>
                <w:sz w:val="18"/>
                <w:szCs w:val="32"/>
                <w:highlight w:val="none"/>
              </w:rPr>
              <w:t>须配置具有一年及以上心电电生理信息系统运维工作经历的固定运维人员。未经医院书面许可，不得擅自更换运维人员。确需更换人员的，应提前 30 日提交人员更换申请，经医院审核同意后方可开展人员更替，并完成完整的岗位工作交接，保障业务连续稳定运行。</w:t>
            </w:r>
          </w:p>
          <w:p w14:paraId="43103568">
            <w:pPr>
              <w:rPr>
                <w:rFonts w:hint="eastAsia" w:ascii="宋体" w:hAnsi="宋体" w:eastAsia="宋体" w:cs="宋体"/>
                <w:sz w:val="18"/>
                <w:szCs w:val="32"/>
                <w:highlight w:val="none"/>
              </w:rPr>
            </w:pPr>
            <w:r>
              <w:rPr>
                <w:rFonts w:hint="eastAsia" w:ascii="宋体" w:hAnsi="宋体" w:eastAsia="宋体" w:cs="宋体"/>
                <w:sz w:val="18"/>
                <w:szCs w:val="32"/>
                <w:highlight w:val="none"/>
                <w:lang w:val="en-US" w:eastAsia="zh-CN"/>
              </w:rPr>
              <w:t>2、</w:t>
            </w:r>
            <w:r>
              <w:rPr>
                <w:rFonts w:hint="eastAsia" w:ascii="宋体" w:hAnsi="宋体" w:eastAsia="宋体" w:cs="宋体"/>
                <w:sz w:val="18"/>
                <w:szCs w:val="32"/>
                <w:highlight w:val="none"/>
              </w:rPr>
              <w:t>若医院认定运维人员履职不到位、无法胜任岗位工作，医院有权提出人员更换要求，投标人须在一周内提供合适候选人员供院方遴选，并完成合格人员上岗。</w:t>
            </w:r>
          </w:p>
          <w:p w14:paraId="20E5C86E">
            <w:pPr>
              <w:rPr>
                <w:rFonts w:hint="eastAsia" w:ascii="宋体" w:hAnsi="宋体" w:eastAsia="宋体" w:cs="宋体"/>
                <w:sz w:val="18"/>
                <w:szCs w:val="32"/>
                <w:highlight w:val="none"/>
              </w:rPr>
            </w:pPr>
            <w:r>
              <w:rPr>
                <w:rFonts w:hint="eastAsia" w:ascii="宋体" w:hAnsi="宋体" w:eastAsia="宋体" w:cs="宋体"/>
                <w:sz w:val="18"/>
                <w:szCs w:val="32"/>
                <w:highlight w:val="none"/>
                <w:lang w:val="en-US" w:eastAsia="zh-CN"/>
              </w:rPr>
              <w:t>3、</w:t>
            </w:r>
            <w:r>
              <w:rPr>
                <w:rFonts w:hint="eastAsia" w:ascii="宋体" w:hAnsi="宋体" w:eastAsia="宋体" w:cs="宋体"/>
                <w:sz w:val="18"/>
                <w:szCs w:val="32"/>
                <w:highlight w:val="none"/>
              </w:rPr>
              <w:t>所配置运维人员，须提供投标单位为其缴纳的1 年及以上社保缴纳证明材料。</w:t>
            </w:r>
          </w:p>
          <w:p w14:paraId="1F00F4C2">
            <w:pPr>
              <w:rPr>
                <w:rFonts w:ascii="宋体" w:hAnsi="宋体" w:eastAsia="宋体"/>
                <w:highlight w:val="none"/>
              </w:rPr>
            </w:pPr>
          </w:p>
        </w:tc>
      </w:tr>
      <w:tr w14:paraId="32051178">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2751DCB5">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0A8CC5E7">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5590E098">
            <w:pPr>
              <w:widowControl/>
              <w:jc w:val="left"/>
              <w:rPr>
                <w:rFonts w:ascii="宋体" w:hAnsi="宋体" w:eastAsia="宋体" w:cs="宋体"/>
                <w:color w:val="000000"/>
                <w:sz w:val="24"/>
                <w:szCs w:val="24"/>
                <w:highlight w:val="none"/>
              </w:rPr>
            </w:pPr>
          </w:p>
        </w:tc>
      </w:tr>
      <w:tr w14:paraId="36CF72C1">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77BF1CD">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38F80AB5">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1EBF954D">
            <w:pPr>
              <w:widowControl/>
              <w:jc w:val="left"/>
              <w:rPr>
                <w:rFonts w:ascii="宋体" w:hAnsi="宋体" w:eastAsia="宋体" w:cs="宋体"/>
                <w:color w:val="000000"/>
                <w:sz w:val="24"/>
                <w:szCs w:val="24"/>
                <w:highlight w:val="none"/>
              </w:rPr>
            </w:pPr>
          </w:p>
        </w:tc>
      </w:tr>
      <w:tr w14:paraId="22C4AC96">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4F723067">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6AB7B489">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2495D2CC">
            <w:pPr>
              <w:widowControl/>
              <w:jc w:val="left"/>
              <w:rPr>
                <w:rFonts w:ascii="宋体" w:hAnsi="宋体" w:eastAsia="宋体" w:cs="宋体"/>
                <w:color w:val="000000"/>
                <w:sz w:val="24"/>
                <w:szCs w:val="24"/>
                <w:highlight w:val="none"/>
              </w:rPr>
            </w:pPr>
          </w:p>
        </w:tc>
      </w:tr>
      <w:tr w14:paraId="6B7875F5">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6E1DAD1D">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03871B57">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713077FF">
            <w:pPr>
              <w:widowControl/>
              <w:jc w:val="left"/>
              <w:rPr>
                <w:rFonts w:ascii="宋体" w:hAnsi="宋体" w:eastAsia="宋体" w:cs="宋体"/>
                <w:color w:val="000000"/>
                <w:sz w:val="24"/>
                <w:szCs w:val="24"/>
                <w:highlight w:val="none"/>
              </w:rPr>
            </w:pPr>
          </w:p>
        </w:tc>
      </w:tr>
      <w:tr w14:paraId="03440FF8">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7522FD1">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7701297B">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02A15B9C">
            <w:pPr>
              <w:widowControl/>
              <w:jc w:val="left"/>
              <w:rPr>
                <w:rFonts w:ascii="宋体" w:hAnsi="宋体" w:eastAsia="宋体" w:cs="宋体"/>
                <w:color w:val="000000"/>
                <w:sz w:val="24"/>
                <w:szCs w:val="24"/>
                <w:highlight w:val="none"/>
              </w:rPr>
            </w:pPr>
          </w:p>
        </w:tc>
      </w:tr>
      <w:tr w14:paraId="538DF819">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65255B96">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653766B2">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196BB1BA">
            <w:pPr>
              <w:widowControl/>
              <w:jc w:val="left"/>
              <w:rPr>
                <w:rFonts w:ascii="宋体" w:hAnsi="宋体" w:eastAsia="宋体" w:cs="宋体"/>
                <w:color w:val="000000"/>
                <w:sz w:val="24"/>
                <w:szCs w:val="24"/>
                <w:highlight w:val="none"/>
              </w:rPr>
            </w:pPr>
          </w:p>
        </w:tc>
      </w:tr>
      <w:tr w14:paraId="637B19F1">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873B485">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59E11933">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2B908CED">
            <w:pPr>
              <w:widowControl/>
              <w:jc w:val="left"/>
              <w:rPr>
                <w:rFonts w:ascii="宋体" w:hAnsi="宋体" w:eastAsia="宋体" w:cs="宋体"/>
                <w:color w:val="000000"/>
                <w:sz w:val="24"/>
                <w:szCs w:val="24"/>
                <w:highlight w:val="none"/>
              </w:rPr>
            </w:pPr>
          </w:p>
        </w:tc>
      </w:tr>
      <w:tr w14:paraId="13F6F114">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49F1516">
            <w:pPr>
              <w:widowControl/>
              <w:jc w:val="left"/>
              <w:rPr>
                <w:rFonts w:ascii="宋体" w:hAnsi="宋体" w:eastAsia="宋体" w:cs="宋体"/>
                <w:b/>
                <w:bCs/>
                <w:color w:val="000000"/>
                <w:sz w:val="32"/>
                <w:szCs w:val="32"/>
                <w:highlight w:val="none"/>
              </w:rPr>
            </w:pPr>
          </w:p>
        </w:tc>
        <w:tc>
          <w:tcPr>
            <w:tcW w:w="4812" w:type="dxa"/>
            <w:vMerge w:val="continue"/>
            <w:tcBorders>
              <w:top w:val="nil"/>
              <w:left w:val="nil"/>
              <w:bottom w:val="single" w:color="000000" w:sz="4" w:space="0"/>
              <w:right w:val="single" w:color="000000" w:sz="4" w:space="0"/>
            </w:tcBorders>
            <w:vAlign w:val="center"/>
          </w:tcPr>
          <w:p w14:paraId="65F89AFF">
            <w:pPr>
              <w:widowControl/>
              <w:jc w:val="left"/>
              <w:rPr>
                <w:rFonts w:ascii="宋体" w:hAnsi="宋体" w:eastAsia="宋体" w:cs="宋体"/>
                <w:color w:val="000000"/>
                <w:sz w:val="24"/>
                <w:szCs w:val="24"/>
                <w:highlight w:val="none"/>
              </w:rPr>
            </w:pPr>
          </w:p>
        </w:tc>
        <w:tc>
          <w:tcPr>
            <w:tcW w:w="4933" w:type="dxa"/>
            <w:vMerge w:val="continue"/>
            <w:tcBorders>
              <w:top w:val="nil"/>
              <w:left w:val="nil"/>
              <w:bottom w:val="single" w:color="000000" w:sz="4" w:space="0"/>
              <w:right w:val="single" w:color="000000" w:sz="4" w:space="0"/>
            </w:tcBorders>
            <w:vAlign w:val="center"/>
          </w:tcPr>
          <w:p w14:paraId="0D5F16B6">
            <w:pPr>
              <w:widowControl/>
              <w:jc w:val="left"/>
              <w:rPr>
                <w:rFonts w:ascii="宋体" w:hAnsi="宋体" w:eastAsia="宋体" w:cs="宋体"/>
                <w:color w:val="000000"/>
                <w:sz w:val="24"/>
                <w:szCs w:val="24"/>
                <w:highlight w:val="none"/>
              </w:rPr>
            </w:pPr>
          </w:p>
        </w:tc>
      </w:tr>
    </w:tbl>
    <w:p w14:paraId="2BDC5CB2">
      <w:pPr>
        <w:rPr>
          <w:rFonts w:ascii="宋体" w:hAnsi="宋体" w:eastAsia="宋体"/>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0B9"/>
    <w:rsid w:val="00045318"/>
    <w:rsid w:val="000650CD"/>
    <w:rsid w:val="00117AC8"/>
    <w:rsid w:val="00133161"/>
    <w:rsid w:val="001866D8"/>
    <w:rsid w:val="001E7774"/>
    <w:rsid w:val="0021703E"/>
    <w:rsid w:val="002E0477"/>
    <w:rsid w:val="0030170C"/>
    <w:rsid w:val="003049A6"/>
    <w:rsid w:val="003A1964"/>
    <w:rsid w:val="00415C3B"/>
    <w:rsid w:val="0045164F"/>
    <w:rsid w:val="004E2C1F"/>
    <w:rsid w:val="0051243B"/>
    <w:rsid w:val="005B2CCB"/>
    <w:rsid w:val="00621A03"/>
    <w:rsid w:val="006335FF"/>
    <w:rsid w:val="00664944"/>
    <w:rsid w:val="00672268"/>
    <w:rsid w:val="00755521"/>
    <w:rsid w:val="00767F98"/>
    <w:rsid w:val="00774FF1"/>
    <w:rsid w:val="007C1E90"/>
    <w:rsid w:val="007C7816"/>
    <w:rsid w:val="007F4190"/>
    <w:rsid w:val="00811F42"/>
    <w:rsid w:val="00837AE1"/>
    <w:rsid w:val="00911311"/>
    <w:rsid w:val="0094097A"/>
    <w:rsid w:val="00950F5A"/>
    <w:rsid w:val="00A21EFC"/>
    <w:rsid w:val="00A849A3"/>
    <w:rsid w:val="00B25398"/>
    <w:rsid w:val="00B35A34"/>
    <w:rsid w:val="00B4464B"/>
    <w:rsid w:val="00B537E4"/>
    <w:rsid w:val="00B675F4"/>
    <w:rsid w:val="00B779F1"/>
    <w:rsid w:val="00C30DA6"/>
    <w:rsid w:val="00C8531E"/>
    <w:rsid w:val="00CA76D2"/>
    <w:rsid w:val="00CC72E6"/>
    <w:rsid w:val="00CF40B9"/>
    <w:rsid w:val="00D12A18"/>
    <w:rsid w:val="00D3142F"/>
    <w:rsid w:val="00D90772"/>
    <w:rsid w:val="00DF4A27"/>
    <w:rsid w:val="00E2104C"/>
    <w:rsid w:val="00EB5229"/>
    <w:rsid w:val="00EB5AE8"/>
    <w:rsid w:val="00F215F7"/>
    <w:rsid w:val="00F24F97"/>
    <w:rsid w:val="00FC502B"/>
    <w:rsid w:val="00FD4085"/>
    <w:rsid w:val="03BB7608"/>
    <w:rsid w:val="0F98709C"/>
    <w:rsid w:val="21F251ED"/>
    <w:rsid w:val="25580B41"/>
    <w:rsid w:val="320C0CE7"/>
    <w:rsid w:val="47781873"/>
    <w:rsid w:val="539A4AC7"/>
    <w:rsid w:val="668C0B79"/>
    <w:rsid w:val="70370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2">
    <w:name w:val="heading 2"/>
    <w:basedOn w:val="1"/>
    <w:next w:val="1"/>
    <w:link w:val="21"/>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0"/>
    <w:semiHidden/>
    <w:unhideWhenUsed/>
    <w:qFormat/>
    <w:uiPriority w:val="99"/>
    <w:rPr>
      <w:sz w:val="18"/>
      <w:szCs w:val="18"/>
    </w:r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qFormat/>
    <w:uiPriority w:val="99"/>
    <w:rPr>
      <w:color w:val="0563C1" w:themeColor="hyperlink"/>
      <w:u w:val="single"/>
      <w14:textFill>
        <w14:solidFill>
          <w14:schemeClr w14:val="hlink"/>
        </w14:solidFill>
      </w14:textFill>
    </w:rPr>
  </w:style>
  <w:style w:type="character" w:customStyle="1" w:styleId="20">
    <w:name w:val="标题 1 字符"/>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2"/>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szCs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character" w:customStyle="1" w:styleId="40">
    <w:name w:val="批注框文本 字符"/>
    <w:basedOn w:val="18"/>
    <w:link w:val="11"/>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1474</Words>
  <Characters>1498</Characters>
  <Lines>6</Lines>
  <Paragraphs>1</Paragraphs>
  <TotalTime>3</TotalTime>
  <ScaleCrop>false</ScaleCrop>
  <LinksUpToDate>false</LinksUpToDate>
  <CharactersWithSpaces>1531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2025-11-30T13:30:00Z</dcterms:created>
  <dc:creator>chen liang</dc:creator>
  <cp:lastModifiedBy>小奥很</cp:lastModifiedBy>
  <cp:lastPrinted>2025-12-05T02:12:00Z</cp:lastPrinted>
  <dcterms:modified xsi:type="dcterms:W3CDTF">2026-09-28T01:26:32Z</dcterms:modified>
  <cp:revision>161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eyJoZGlkIjoiODU0NzdiYWVlMWEzYjc1ZWY1Nzc2N2VlYmY5ZGY5ZjEiLCJ1c2VySWQiOiI2MzU3OTM1MzQifQ==</vt:lpwstr>
  </property>
  <property fmtid="{D5CDD505-2E9C-101B-9397-08002B2CF9AE}" pid="3" name="KSOProductBuildVer">
    <vt:lpwstr>2052-12.1.0.28505</vt:lpwstr>
  </property>
  <property fmtid="{D5CDD505-2E9C-101B-9397-08002B2CF9AE}" pid="4" name="ICV">
    <vt:lpwstr>F0B3BF3F26B144EDA460BC6F7A508C1E_13</vt:lpwstr>
  </property>
</Properties>
</file>