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3476E">
      <w:pPr>
        <w:widowControl/>
        <w:jc w:val="left"/>
        <w:rPr>
          <w:rFonts w:ascii="宋体" w:hAnsi="宋体" w:eastAsia="宋体"/>
        </w:rPr>
      </w:pPr>
    </w:p>
    <w:tbl>
      <w:tblPr>
        <w:tblStyle w:val="17"/>
        <w:tblW w:w="10323" w:type="dxa"/>
        <w:jc w:val="center"/>
        <w:tblLayout w:type="autofit"/>
        <w:tblCellMar>
          <w:top w:w="0" w:type="dxa"/>
          <w:left w:w="108" w:type="dxa"/>
          <w:bottom w:w="0" w:type="dxa"/>
          <w:right w:w="108" w:type="dxa"/>
        </w:tblCellMar>
      </w:tblPr>
      <w:tblGrid>
        <w:gridCol w:w="578"/>
        <w:gridCol w:w="4812"/>
        <w:gridCol w:w="4933"/>
      </w:tblGrid>
      <w:tr w14:paraId="5671976D">
        <w:tblPrEx>
          <w:tblCellMar>
            <w:top w:w="0" w:type="dxa"/>
            <w:left w:w="108" w:type="dxa"/>
            <w:bottom w:w="0" w:type="dxa"/>
            <w:right w:w="108" w:type="dxa"/>
          </w:tblCellMar>
        </w:tblPrEx>
        <w:trPr>
          <w:trHeight w:val="703" w:hRule="atLeast"/>
          <w:jc w:val="center"/>
        </w:trPr>
        <w:tc>
          <w:tcPr>
            <w:tcW w:w="10323" w:type="dxa"/>
            <w:gridSpan w:val="3"/>
            <w:tcBorders>
              <w:top w:val="nil"/>
              <w:left w:val="nil"/>
              <w:bottom w:val="nil"/>
              <w:right w:val="nil"/>
            </w:tcBorders>
            <w:vAlign w:val="center"/>
          </w:tcPr>
          <w:p w14:paraId="63448365">
            <w:pPr>
              <w:widowControl/>
              <w:jc w:val="center"/>
              <w:textAlignment w:val="center"/>
              <w:rPr>
                <w:rFonts w:ascii="宋体" w:hAnsi="宋体" w:eastAsia="宋体"/>
                <w:b/>
                <w:bCs/>
                <w:color w:val="000000"/>
                <w:sz w:val="40"/>
                <w:szCs w:val="40"/>
              </w:rPr>
            </w:pPr>
            <w:r>
              <w:rPr>
                <w:rFonts w:hint="eastAsia" w:ascii="宋体" w:hAnsi="宋体" w:eastAsia="宋体"/>
                <w:b/>
                <w:bCs/>
                <w:color w:val="000000"/>
                <w:kern w:val="0"/>
                <w:sz w:val="44"/>
                <w:szCs w:val="44"/>
              </w:rPr>
              <w:t>采购需求表</w:t>
            </w:r>
          </w:p>
        </w:tc>
      </w:tr>
      <w:tr w14:paraId="5519FA71">
        <w:tblPrEx>
          <w:tblCellMar>
            <w:top w:w="0" w:type="dxa"/>
            <w:left w:w="108" w:type="dxa"/>
            <w:bottom w:w="0" w:type="dxa"/>
            <w:right w:w="108" w:type="dxa"/>
          </w:tblCellMar>
        </w:tblPrEx>
        <w:trPr>
          <w:trHeight w:val="703" w:hRule="atLeast"/>
          <w:jc w:val="center"/>
        </w:trPr>
        <w:tc>
          <w:tcPr>
            <w:tcW w:w="578" w:type="dxa"/>
            <w:tcBorders>
              <w:top w:val="single" w:color="000000" w:sz="4" w:space="0"/>
              <w:left w:val="single" w:color="000000" w:sz="4" w:space="0"/>
              <w:right w:val="single" w:color="000000" w:sz="4" w:space="0"/>
            </w:tcBorders>
            <w:vAlign w:val="center"/>
          </w:tcPr>
          <w:p w14:paraId="500F010C">
            <w:pPr>
              <w:widowControl/>
              <w:jc w:val="left"/>
              <w:rPr>
                <w:rFonts w:ascii="宋体" w:hAnsi="宋体" w:eastAsia="宋体" w:cs="宋体"/>
                <w:color w:val="000000"/>
                <w:sz w:val="32"/>
                <w:szCs w:val="32"/>
              </w:rPr>
            </w:pPr>
          </w:p>
        </w:tc>
        <w:tc>
          <w:tcPr>
            <w:tcW w:w="4812" w:type="dxa"/>
            <w:tcBorders>
              <w:top w:val="single" w:color="000000" w:sz="4" w:space="0"/>
              <w:left w:val="nil"/>
              <w:bottom w:val="single" w:color="000000" w:sz="4" w:space="0"/>
              <w:right w:val="single" w:color="000000" w:sz="4" w:space="0"/>
            </w:tcBorders>
            <w:vAlign w:val="center"/>
          </w:tcPr>
          <w:p w14:paraId="6AA7F88E">
            <w:pPr>
              <w:widowControl/>
              <w:spacing w:line="240" w:lineRule="exact"/>
              <w:contextualSpacing/>
              <w:jc w:val="center"/>
              <w:textAlignment w:val="center"/>
              <w:rPr>
                <w:rFonts w:ascii="宋体" w:hAnsi="宋体" w:eastAsia="宋体"/>
                <w:color w:val="000000"/>
                <w:kern w:val="0"/>
                <w:sz w:val="24"/>
                <w:szCs w:val="24"/>
              </w:rPr>
            </w:pPr>
            <w:r>
              <w:rPr>
                <w:rFonts w:hint="eastAsia" w:ascii="宋体" w:hAnsi="宋体" w:eastAsia="宋体"/>
                <w:color w:val="000000"/>
                <w:kern w:val="0"/>
                <w:sz w:val="24"/>
                <w:szCs w:val="24"/>
              </w:rPr>
              <w:t>项目名称</w:t>
            </w:r>
          </w:p>
        </w:tc>
        <w:tc>
          <w:tcPr>
            <w:tcW w:w="4933" w:type="dxa"/>
            <w:tcBorders>
              <w:top w:val="single" w:color="000000" w:sz="4" w:space="0"/>
              <w:left w:val="nil"/>
              <w:bottom w:val="single" w:color="000000" w:sz="4" w:space="0"/>
              <w:right w:val="single" w:color="000000" w:sz="4" w:space="0"/>
            </w:tcBorders>
            <w:vAlign w:val="center"/>
          </w:tcPr>
          <w:p w14:paraId="48F75F90">
            <w:pPr>
              <w:spacing w:line="240" w:lineRule="exact"/>
              <w:contextualSpacing/>
              <w:jc w:val="center"/>
              <w:rPr>
                <w:rFonts w:ascii="宋体" w:hAnsi="宋体" w:eastAsia="宋体"/>
                <w:bCs/>
                <w:color w:val="000000"/>
                <w:sz w:val="24"/>
                <w:szCs w:val="24"/>
              </w:rPr>
            </w:pPr>
            <w:r>
              <w:rPr>
                <w:rFonts w:hint="eastAsia" w:ascii="宋体" w:hAnsi="宋体" w:eastAsia="宋体"/>
                <w:bCs/>
                <w:color w:val="000000"/>
                <w:sz w:val="24"/>
                <w:szCs w:val="24"/>
              </w:rPr>
              <w:t>实验室信息管理系统(LIS)维保费</w:t>
            </w:r>
          </w:p>
        </w:tc>
      </w:tr>
      <w:tr w14:paraId="78099069">
        <w:tblPrEx>
          <w:tblCellMar>
            <w:top w:w="0" w:type="dxa"/>
            <w:left w:w="108" w:type="dxa"/>
            <w:bottom w:w="0" w:type="dxa"/>
            <w:right w:w="108" w:type="dxa"/>
          </w:tblCellMar>
        </w:tblPrEx>
        <w:trPr>
          <w:trHeight w:val="547" w:hRule="atLeast"/>
          <w:jc w:val="center"/>
        </w:trPr>
        <w:tc>
          <w:tcPr>
            <w:tcW w:w="578" w:type="dxa"/>
            <w:vMerge w:val="restart"/>
            <w:tcBorders>
              <w:top w:val="nil"/>
              <w:left w:val="single" w:color="000000" w:sz="4" w:space="0"/>
              <w:bottom w:val="single" w:color="000000" w:sz="4" w:space="0"/>
              <w:right w:val="single" w:color="000000" w:sz="4" w:space="0"/>
            </w:tcBorders>
            <w:vAlign w:val="center"/>
          </w:tcPr>
          <w:p w14:paraId="70FD1F09">
            <w:pPr>
              <w:widowControl/>
              <w:spacing w:line="360" w:lineRule="auto"/>
              <w:jc w:val="left"/>
              <w:textAlignment w:val="center"/>
              <w:rPr>
                <w:rFonts w:ascii="宋体" w:hAnsi="宋体" w:eastAsia="宋体"/>
                <w:b/>
                <w:bCs/>
                <w:color w:val="000000"/>
                <w:sz w:val="32"/>
                <w:szCs w:val="32"/>
              </w:rPr>
            </w:pPr>
            <w:r>
              <w:rPr>
                <w:rFonts w:hint="eastAsia" w:ascii="宋体" w:hAnsi="宋体" w:eastAsia="宋体"/>
                <w:b/>
                <w:bCs/>
                <w:color w:val="000000"/>
                <w:spacing w:val="40"/>
                <w:kern w:val="0"/>
                <w:sz w:val="28"/>
                <w:szCs w:val="28"/>
              </w:rPr>
              <w:t>参数需</w:t>
            </w:r>
            <w:r>
              <w:rPr>
                <w:rFonts w:hint="eastAsia" w:ascii="宋体" w:hAnsi="宋体" w:eastAsia="宋体"/>
                <w:b/>
                <w:bCs/>
                <w:color w:val="000000"/>
                <w:kern w:val="0"/>
                <w:sz w:val="28"/>
                <w:szCs w:val="28"/>
              </w:rPr>
              <w:t>求</w:t>
            </w:r>
          </w:p>
        </w:tc>
        <w:tc>
          <w:tcPr>
            <w:tcW w:w="4812" w:type="dxa"/>
            <w:tcBorders>
              <w:top w:val="single" w:color="000000" w:sz="4" w:space="0"/>
              <w:left w:val="nil"/>
              <w:bottom w:val="single" w:color="000000" w:sz="4" w:space="0"/>
              <w:right w:val="single" w:color="000000" w:sz="4" w:space="0"/>
            </w:tcBorders>
            <w:vAlign w:val="center"/>
          </w:tcPr>
          <w:p w14:paraId="399C9880">
            <w:pPr>
              <w:widowControl/>
              <w:jc w:val="center"/>
              <w:textAlignment w:val="center"/>
              <w:rPr>
                <w:rFonts w:ascii="宋体" w:hAnsi="宋体" w:eastAsia="宋体"/>
                <w:color w:val="000000"/>
                <w:kern w:val="0"/>
                <w:sz w:val="24"/>
                <w:szCs w:val="24"/>
              </w:rPr>
            </w:pPr>
            <w:r>
              <w:rPr>
                <w:rFonts w:hint="eastAsia" w:ascii="宋体" w:hAnsi="宋体" w:eastAsia="宋体"/>
                <w:color w:val="000000"/>
                <w:kern w:val="0"/>
                <w:sz w:val="24"/>
                <w:szCs w:val="24"/>
              </w:rPr>
              <w:t>技术和性能参数需求</w:t>
            </w:r>
          </w:p>
        </w:tc>
        <w:tc>
          <w:tcPr>
            <w:tcW w:w="4933" w:type="dxa"/>
            <w:tcBorders>
              <w:top w:val="single" w:color="000000" w:sz="4" w:space="0"/>
              <w:left w:val="nil"/>
              <w:bottom w:val="single" w:color="000000" w:sz="4" w:space="0"/>
              <w:right w:val="single" w:color="000000" w:sz="4" w:space="0"/>
            </w:tcBorders>
            <w:vAlign w:val="center"/>
          </w:tcPr>
          <w:p w14:paraId="479346A2">
            <w:pPr>
              <w:widowControl/>
              <w:jc w:val="center"/>
              <w:textAlignment w:val="center"/>
              <w:rPr>
                <w:rFonts w:ascii="宋体" w:hAnsi="宋体" w:eastAsia="宋体"/>
                <w:color w:val="000000"/>
                <w:kern w:val="0"/>
                <w:sz w:val="24"/>
                <w:szCs w:val="24"/>
              </w:rPr>
            </w:pPr>
            <w:r>
              <w:rPr>
                <w:rFonts w:hint="eastAsia" w:ascii="宋体" w:hAnsi="宋体" w:eastAsia="宋体"/>
                <w:color w:val="000000"/>
                <w:kern w:val="0"/>
                <w:sz w:val="24"/>
                <w:szCs w:val="24"/>
              </w:rPr>
              <w:t>配置需求</w:t>
            </w:r>
          </w:p>
        </w:tc>
      </w:tr>
      <w:tr w14:paraId="2F31DF57">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21F60B00">
            <w:pPr>
              <w:widowControl/>
              <w:jc w:val="left"/>
              <w:rPr>
                <w:rFonts w:ascii="宋体" w:hAnsi="宋体" w:eastAsia="宋体" w:cs="宋体"/>
                <w:b/>
                <w:bCs/>
                <w:color w:val="000000"/>
                <w:sz w:val="32"/>
                <w:szCs w:val="32"/>
              </w:rPr>
            </w:pPr>
          </w:p>
        </w:tc>
        <w:tc>
          <w:tcPr>
            <w:tcW w:w="4812" w:type="dxa"/>
            <w:vMerge w:val="restart"/>
            <w:tcBorders>
              <w:top w:val="nil"/>
              <w:left w:val="nil"/>
              <w:bottom w:val="single" w:color="000000" w:sz="4" w:space="0"/>
              <w:right w:val="single" w:color="000000" w:sz="4" w:space="0"/>
            </w:tcBorders>
            <w:vAlign w:val="center"/>
          </w:tcPr>
          <w:p w14:paraId="5FA10BF3">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lang w:val="en-US" w:eastAsia="zh-CN"/>
              </w:rPr>
              <w:t>1.</w:t>
            </w:r>
            <w:r>
              <w:rPr>
                <w:rFonts w:hint="default" w:ascii="Times New Roman" w:hAnsi="Times New Roman" w:eastAsia="宋体" w:cs="Times New Roman"/>
                <w:color w:val="0F1115"/>
                <w:sz w:val="22"/>
                <w:shd w:val="clear" w:color="auto" w:fill="FFFFFF"/>
              </w:rPr>
              <w:t>运维服务范围</w:t>
            </w:r>
          </w:p>
          <w:p w14:paraId="3638D6B6">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（1）检验信息管理系统(含临检、免疫、生化、分子生物、骨髓等模块)、微生物信息管理系统、试剂管理系统、实验室质量管理系统(含质控管理与实验室质量指标管理等)</w:t>
            </w:r>
          </w:p>
          <w:p w14:paraId="3F8EB4EA">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（2）运维期限：1年</w:t>
            </w:r>
          </w:p>
          <w:p w14:paraId="15DEB128">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lang w:val="en-US" w:eastAsia="zh-CN"/>
              </w:rPr>
              <w:t>2.</w:t>
            </w:r>
            <w:r>
              <w:rPr>
                <w:rFonts w:hint="default" w:ascii="Times New Roman" w:hAnsi="Times New Roman" w:eastAsia="宋体" w:cs="Times New Roman"/>
                <w:color w:val="0F1115"/>
                <w:sz w:val="22"/>
                <w:shd w:val="clear" w:color="auto" w:fill="FFFFFF"/>
              </w:rPr>
              <w:t>运维服务内容</w:t>
            </w:r>
          </w:p>
          <w:p w14:paraId="4903D243">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（1）功能优化：日常功能优化、</w:t>
            </w:r>
            <w:r>
              <w:rPr>
                <w:rFonts w:hint="eastAsia" w:ascii="Times New Roman" w:hAnsi="Times New Roman" w:eastAsia="宋体" w:cs="Times New Roman"/>
                <w:color w:val="0F1115"/>
                <w:sz w:val="22"/>
                <w:shd w:val="clear" w:color="auto" w:fill="FFFFFF"/>
                <w:lang w:val="en-US" w:eastAsia="zh-CN"/>
              </w:rPr>
              <w:t>新增报表、</w:t>
            </w:r>
            <w:r>
              <w:rPr>
                <w:rFonts w:hint="default" w:ascii="Times New Roman" w:hAnsi="Times New Roman" w:eastAsia="宋体" w:cs="Times New Roman"/>
                <w:color w:val="0F1115"/>
                <w:sz w:val="22"/>
                <w:shd w:val="clear" w:color="auto" w:fill="FFFFFF"/>
              </w:rPr>
              <w:t>BUG修改、报告模板配置及审核规则优化</w:t>
            </w:r>
            <w:r>
              <w:rPr>
                <w:rFonts w:hint="eastAsia" w:ascii="Times New Roman" w:hAnsi="Times New Roman" w:eastAsia="宋体" w:cs="Times New Roman"/>
                <w:color w:val="0F1115"/>
                <w:sz w:val="22"/>
                <w:shd w:val="clear" w:color="auto" w:fill="FFFFFF"/>
                <w:lang w:val="en-US" w:eastAsia="zh-CN"/>
              </w:rPr>
              <w:t>等</w:t>
            </w:r>
            <w:r>
              <w:rPr>
                <w:rFonts w:hint="default" w:ascii="Times New Roman" w:hAnsi="Times New Roman" w:eastAsia="宋体" w:cs="Times New Roman"/>
                <w:color w:val="0F1115"/>
                <w:sz w:val="22"/>
                <w:shd w:val="clear" w:color="auto" w:fill="FFFFFF"/>
              </w:rPr>
              <w:t>，所有变更须测试验证后方可上线。</w:t>
            </w:r>
          </w:p>
          <w:p w14:paraId="70148329">
            <w:pPr>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2）接口服务：持续维护与HIS、EMR、体检、院感等系统接口。因国家、省、市卫生健康、医保、财政等主管部门政策法规或监管要求引起的接口新增、改造、迁移及数据补报，须主动跟踪并于生效时点前完成上线；相关费用均含于合同总价，供应商不得以第三方或政策变动为由追加。</w:t>
            </w:r>
          </w:p>
          <w:p w14:paraId="04898AF5">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w:t>
            </w:r>
            <w:r>
              <w:rPr>
                <w:rFonts w:hint="default" w:ascii="Times New Roman" w:hAnsi="Times New Roman" w:eastAsia="宋体" w:cs="Times New Roman"/>
                <w:color w:val="0F1115"/>
                <w:sz w:val="22"/>
                <w:shd w:val="clear" w:color="auto" w:fill="FFFFFF"/>
                <w:lang w:val="en-US" w:eastAsia="zh-CN"/>
              </w:rPr>
              <w:t>3</w:t>
            </w:r>
            <w:r>
              <w:rPr>
                <w:rFonts w:hint="default" w:ascii="Times New Roman" w:hAnsi="Times New Roman" w:eastAsia="宋体" w:cs="Times New Roman"/>
                <w:color w:val="0F1115"/>
                <w:sz w:val="22"/>
                <w:shd w:val="clear" w:color="auto" w:fill="FFFFFF"/>
              </w:rPr>
              <w:t>）咨询</w:t>
            </w:r>
            <w:r>
              <w:rPr>
                <w:rFonts w:hint="default" w:ascii="Times New Roman" w:hAnsi="Times New Roman" w:eastAsia="宋体" w:cs="Times New Roman"/>
                <w:color w:val="0F1115"/>
                <w:sz w:val="22"/>
                <w:shd w:val="clear" w:color="auto" w:fill="FFFFFF"/>
                <w:lang w:val="en-US" w:eastAsia="zh-CN"/>
              </w:rPr>
              <w:t>和</w:t>
            </w:r>
            <w:r>
              <w:rPr>
                <w:rFonts w:hint="default" w:ascii="Times New Roman" w:hAnsi="Times New Roman" w:eastAsia="宋体" w:cs="Times New Roman"/>
                <w:color w:val="0F1115"/>
                <w:sz w:val="22"/>
                <w:shd w:val="clear" w:color="auto" w:fill="FFFFFF"/>
              </w:rPr>
              <w:t>培训服务：免费提供相关技术与业务问题指导</w:t>
            </w:r>
            <w:r>
              <w:rPr>
                <w:rFonts w:hint="default" w:ascii="Times New Roman" w:hAnsi="Times New Roman" w:eastAsia="宋体" w:cs="Times New Roman"/>
                <w:color w:val="0F1115"/>
                <w:sz w:val="22"/>
                <w:shd w:val="clear" w:color="auto" w:fill="FFFFFF"/>
                <w:lang w:eastAsia="zh-CN"/>
              </w:rPr>
              <w:t>；</w:t>
            </w:r>
            <w:r>
              <w:rPr>
                <w:rFonts w:hint="default" w:ascii="Times New Roman" w:hAnsi="Times New Roman" w:eastAsia="宋体" w:cs="Times New Roman"/>
                <w:color w:val="0F1115"/>
                <w:sz w:val="22"/>
                <w:shd w:val="clear" w:color="auto" w:fill="FFFFFF"/>
              </w:rPr>
              <w:t>每年按需进行现场培训，含新员工上岗及技能提升，留存签到记录。</w:t>
            </w:r>
          </w:p>
          <w:p w14:paraId="0352EA89">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3.运维服务保障</w:t>
            </w:r>
          </w:p>
          <w:p w14:paraId="398FE79F">
            <w:pPr>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（1）定期（含国家法定节假日前、重保期间等）巡检系统服务状态，及时向医院汇报系统服务运行情况，每次巡检结束后向医院提交巡检报告。</w:t>
            </w:r>
          </w:p>
          <w:p w14:paraId="59581058">
            <w:pPr>
              <w:pStyle w:val="15"/>
              <w:widowControl/>
              <w:shd w:val="clear" w:color="auto" w:fill="FFFFFF"/>
              <w:adjustRightInd w:val="0"/>
              <w:snapToGrid w:val="0"/>
              <w:jc w:val="left"/>
              <w:rPr>
                <w:rFonts w:hint="default"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（2）提供7×24小时技术支持，一般故障30分钟内响应并解决，重大故障15分钟内响应、6小时内恢复，必要时上门解决，事后72小时内提交故障分析报告。</w:t>
            </w:r>
          </w:p>
          <w:p w14:paraId="12D63F4B">
            <w:pPr>
              <w:rPr>
                <w:rFonts w:hint="eastAsia" w:ascii="Times New Roman" w:hAnsi="Times New Roman" w:eastAsia="宋体" w:cs="Times New Roman"/>
                <w:color w:val="0F1115"/>
                <w:sz w:val="22"/>
                <w:shd w:val="clear" w:color="auto" w:fill="FFFFFF"/>
              </w:rPr>
            </w:pPr>
            <w:r>
              <w:rPr>
                <w:rFonts w:hint="default" w:ascii="Times New Roman" w:hAnsi="Times New Roman" w:eastAsia="宋体" w:cs="Times New Roman"/>
                <w:color w:val="0F1115"/>
                <w:sz w:val="22"/>
                <w:shd w:val="clear" w:color="auto" w:fill="FFFFFF"/>
              </w:rPr>
              <w:t>（3）配合医院完成三级等保测评及各类安全检查整改工作，针对医院定期漏洞扫描、渗透测试排查出的服务器漏洞、系统插件老旧等各类安全隐患，以及日常安检及运维中发现的安全问题，完成漏洞修复、系统升级、安全整改等工作，持续消除安全风险，保障医院信息系统安全合规、稳定运行。</w:t>
            </w:r>
          </w:p>
        </w:tc>
        <w:tc>
          <w:tcPr>
            <w:tcW w:w="4933" w:type="dxa"/>
            <w:vMerge w:val="restart"/>
            <w:tcBorders>
              <w:top w:val="nil"/>
              <w:left w:val="nil"/>
              <w:bottom w:val="single" w:color="000000" w:sz="4" w:space="0"/>
              <w:right w:val="single" w:color="000000" w:sz="4" w:space="0"/>
            </w:tcBorders>
            <w:vAlign w:val="center"/>
          </w:tcPr>
          <w:p w14:paraId="52F3C67A">
            <w:pPr>
              <w:rPr>
                <w:rFonts w:ascii="宋体" w:hAnsi="宋体" w:eastAsia="宋体" w:cs="宋体"/>
                <w:sz w:val="24"/>
                <w:szCs w:val="24"/>
              </w:rPr>
            </w:pPr>
          </w:p>
          <w:p w14:paraId="43C7A783">
            <w:pP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一、公司资质要求</w:t>
            </w:r>
          </w:p>
          <w:p w14:paraId="5D722288">
            <w:pP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1、投标人须具备三年及以上三甲医院信息系统运维服务实施经验。</w:t>
            </w:r>
          </w:p>
          <w:p w14:paraId="7EA3A25B">
            <w:pP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二、运维人员配置要求</w:t>
            </w:r>
          </w:p>
          <w:p w14:paraId="66986CED">
            <w:pP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1、须配置具有一年及以上实验室信息管理系统运维工作经历的固定运维人员。未经医院许可，不得擅自更换运维人员。确需更换人员的，应提前 30 日提交人员更换申请，经医院审核同意后方可开展人员更替，并完成完整的岗位工作交接，保障业务连续稳定运行。</w:t>
            </w:r>
          </w:p>
          <w:p w14:paraId="0097A149">
            <w:pP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2、若医院认定运维人员履职不到位、无法胜任岗位工作，医院有权提出人员更换要求，投标人须在一周内提供合适候选人员供院方遴选，并完成合格人员上岗。</w:t>
            </w:r>
          </w:p>
          <w:p w14:paraId="5413112F">
            <w:pP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3、所配置运维人员，须提供投标单位为其缴纳的1 年及以上社保缴纳证明材料。</w:t>
            </w:r>
          </w:p>
          <w:p w14:paraId="4D1A9B56">
            <w:pPr>
              <w:pStyle w:val="15"/>
              <w:widowControl/>
              <w:shd w:val="clear" w:color="auto" w:fill="FFFFFF"/>
              <w:adjustRightInd w:val="0"/>
              <w:snapToGrid w:val="0"/>
              <w:jc w:val="left"/>
              <w:rPr>
                <w:rFonts w:ascii="宋体" w:hAnsi="宋体" w:eastAsia="宋体"/>
              </w:rPr>
            </w:pPr>
          </w:p>
        </w:tc>
      </w:tr>
      <w:tr w14:paraId="32051178">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2751DCB5">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0A8CC5E7">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5590E098">
            <w:pPr>
              <w:widowControl/>
              <w:jc w:val="left"/>
              <w:rPr>
                <w:rFonts w:ascii="宋体" w:hAnsi="宋体" w:eastAsia="宋体" w:cs="宋体"/>
                <w:color w:val="000000"/>
                <w:sz w:val="24"/>
                <w:szCs w:val="24"/>
              </w:rPr>
            </w:pPr>
          </w:p>
        </w:tc>
      </w:tr>
      <w:tr w14:paraId="36CF72C1">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77BF1CD">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38F80AB5">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1EBF954D">
            <w:pPr>
              <w:widowControl/>
              <w:jc w:val="left"/>
              <w:rPr>
                <w:rFonts w:ascii="宋体" w:hAnsi="宋体" w:eastAsia="宋体" w:cs="宋体"/>
                <w:color w:val="000000"/>
                <w:sz w:val="24"/>
                <w:szCs w:val="24"/>
              </w:rPr>
            </w:pPr>
          </w:p>
        </w:tc>
      </w:tr>
      <w:tr w14:paraId="22C4AC96">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4F723067">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6AB7B489">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2495D2CC">
            <w:pPr>
              <w:widowControl/>
              <w:jc w:val="left"/>
              <w:rPr>
                <w:rFonts w:ascii="宋体" w:hAnsi="宋体" w:eastAsia="宋体" w:cs="宋体"/>
                <w:color w:val="000000"/>
                <w:sz w:val="24"/>
                <w:szCs w:val="24"/>
              </w:rPr>
            </w:pPr>
          </w:p>
        </w:tc>
      </w:tr>
      <w:tr w14:paraId="6B7875F5">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6E1DAD1D">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03871B57">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713077FF">
            <w:pPr>
              <w:widowControl/>
              <w:jc w:val="left"/>
              <w:rPr>
                <w:rFonts w:ascii="宋体" w:hAnsi="宋体" w:eastAsia="宋体" w:cs="宋体"/>
                <w:color w:val="000000"/>
                <w:sz w:val="24"/>
                <w:szCs w:val="24"/>
              </w:rPr>
            </w:pPr>
          </w:p>
        </w:tc>
      </w:tr>
      <w:tr w14:paraId="03440FF8">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7522FD1">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7701297B">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02A15B9C">
            <w:pPr>
              <w:widowControl/>
              <w:jc w:val="left"/>
              <w:rPr>
                <w:rFonts w:ascii="宋体" w:hAnsi="宋体" w:eastAsia="宋体" w:cs="宋体"/>
                <w:color w:val="000000"/>
                <w:sz w:val="24"/>
                <w:szCs w:val="24"/>
              </w:rPr>
            </w:pPr>
          </w:p>
        </w:tc>
      </w:tr>
      <w:tr w14:paraId="538DF819">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65255B96">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653766B2">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196BB1BA">
            <w:pPr>
              <w:widowControl/>
              <w:jc w:val="left"/>
              <w:rPr>
                <w:rFonts w:ascii="宋体" w:hAnsi="宋体" w:eastAsia="宋体" w:cs="宋体"/>
                <w:color w:val="000000"/>
                <w:sz w:val="24"/>
                <w:szCs w:val="24"/>
              </w:rPr>
            </w:pPr>
          </w:p>
        </w:tc>
      </w:tr>
      <w:tr w14:paraId="637B19F1">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873B485">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59E11933">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2B908CED">
            <w:pPr>
              <w:widowControl/>
              <w:jc w:val="left"/>
              <w:rPr>
                <w:rFonts w:ascii="宋体" w:hAnsi="宋体" w:eastAsia="宋体" w:cs="宋体"/>
                <w:color w:val="000000"/>
                <w:sz w:val="24"/>
                <w:szCs w:val="24"/>
              </w:rPr>
            </w:pPr>
          </w:p>
        </w:tc>
      </w:tr>
      <w:tr w14:paraId="13F6F114">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49F1516">
            <w:pPr>
              <w:widowControl/>
              <w:jc w:val="left"/>
              <w:rPr>
                <w:rFonts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65F89AFF">
            <w:pPr>
              <w:widowControl/>
              <w:jc w:val="left"/>
              <w:rPr>
                <w:rFonts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0D5F16B6">
            <w:pPr>
              <w:widowControl/>
              <w:jc w:val="left"/>
              <w:rPr>
                <w:rFonts w:ascii="宋体" w:hAnsi="宋体" w:eastAsia="宋体" w:cs="宋体"/>
                <w:color w:val="000000"/>
                <w:sz w:val="24"/>
                <w:szCs w:val="24"/>
              </w:rPr>
            </w:pPr>
          </w:p>
        </w:tc>
      </w:tr>
    </w:tbl>
    <w:p w14:paraId="2BDC5CB2">
      <w:pPr>
        <w:rPr>
          <w:rFonts w:ascii="宋体" w:hAnsi="宋体" w:eastAsia="宋体"/>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0B9"/>
    <w:rsid w:val="00045318"/>
    <w:rsid w:val="00063074"/>
    <w:rsid w:val="000650CD"/>
    <w:rsid w:val="0009201A"/>
    <w:rsid w:val="00117AC8"/>
    <w:rsid w:val="00133161"/>
    <w:rsid w:val="001866D8"/>
    <w:rsid w:val="001D64F2"/>
    <w:rsid w:val="001E7774"/>
    <w:rsid w:val="0021703E"/>
    <w:rsid w:val="002C19D9"/>
    <w:rsid w:val="002E0477"/>
    <w:rsid w:val="003049A6"/>
    <w:rsid w:val="00380A92"/>
    <w:rsid w:val="003A1964"/>
    <w:rsid w:val="00415C3B"/>
    <w:rsid w:val="00430BF3"/>
    <w:rsid w:val="0045164F"/>
    <w:rsid w:val="004E2C1F"/>
    <w:rsid w:val="0051243B"/>
    <w:rsid w:val="005B2CCB"/>
    <w:rsid w:val="00621A03"/>
    <w:rsid w:val="006335FF"/>
    <w:rsid w:val="00664944"/>
    <w:rsid w:val="00675E30"/>
    <w:rsid w:val="00687145"/>
    <w:rsid w:val="00755521"/>
    <w:rsid w:val="007624FB"/>
    <w:rsid w:val="00767F98"/>
    <w:rsid w:val="00774FF1"/>
    <w:rsid w:val="007C1E90"/>
    <w:rsid w:val="007C7816"/>
    <w:rsid w:val="007F4190"/>
    <w:rsid w:val="00811F42"/>
    <w:rsid w:val="00837AE1"/>
    <w:rsid w:val="00911311"/>
    <w:rsid w:val="009138B8"/>
    <w:rsid w:val="0094097A"/>
    <w:rsid w:val="00950F5A"/>
    <w:rsid w:val="00A21EFC"/>
    <w:rsid w:val="00A54DE9"/>
    <w:rsid w:val="00A849A3"/>
    <w:rsid w:val="00B25398"/>
    <w:rsid w:val="00B35A34"/>
    <w:rsid w:val="00B4464B"/>
    <w:rsid w:val="00B537E4"/>
    <w:rsid w:val="00B675F4"/>
    <w:rsid w:val="00B67E65"/>
    <w:rsid w:val="00B779F1"/>
    <w:rsid w:val="00C30DA6"/>
    <w:rsid w:val="00C8531E"/>
    <w:rsid w:val="00CA76D2"/>
    <w:rsid w:val="00CC72E6"/>
    <w:rsid w:val="00CF40B9"/>
    <w:rsid w:val="00D12A18"/>
    <w:rsid w:val="00D3142F"/>
    <w:rsid w:val="00D33B35"/>
    <w:rsid w:val="00D4480B"/>
    <w:rsid w:val="00D90772"/>
    <w:rsid w:val="00DF4A27"/>
    <w:rsid w:val="00E2104C"/>
    <w:rsid w:val="00EB5229"/>
    <w:rsid w:val="00EB5AE8"/>
    <w:rsid w:val="00F215F7"/>
    <w:rsid w:val="00F24F97"/>
    <w:rsid w:val="00FC502B"/>
    <w:rsid w:val="00FD4085"/>
    <w:rsid w:val="0C3176A4"/>
    <w:rsid w:val="27DD5F3D"/>
    <w:rsid w:val="320C0CE7"/>
    <w:rsid w:val="47781873"/>
    <w:rsid w:val="47EB050B"/>
    <w:rsid w:val="52FD12D4"/>
    <w:rsid w:val="668C0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1"/>
    <w:semiHidden/>
    <w:unhideWhenUsed/>
    <w:qFormat/>
    <w:uiPriority w:val="99"/>
    <w:rPr>
      <w:sz w:val="18"/>
      <w:szCs w:val="18"/>
    </w:r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rPr>
      <w:sz w:val="24"/>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qFormat/>
    <w:uiPriority w:val="99"/>
    <w:rPr>
      <w:color w:val="0563C1" w:themeColor="hyperlink"/>
      <w:u w:val="single"/>
      <w14:textFill>
        <w14:solidFill>
          <w14:schemeClr w14:val="hlink"/>
        </w14:solidFill>
      </w14:textFill>
    </w:rPr>
  </w:style>
  <w:style w:type="character" w:customStyle="1" w:styleId="21">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qFormat/>
    <w:uiPriority w:val="9"/>
    <w:rPr>
      <w:rFonts w:cstheme="majorBidi"/>
      <w:color w:val="2F5597" w:themeColor="accent1" w:themeShade="BF"/>
      <w:sz w:val="28"/>
      <w:szCs w:val="28"/>
    </w:rPr>
  </w:style>
  <w:style w:type="character" w:customStyle="1" w:styleId="25">
    <w:name w:val="标题 5 字符"/>
    <w:basedOn w:val="19"/>
    <w:link w:val="6"/>
    <w:semiHidden/>
    <w:qFormat/>
    <w:uiPriority w:val="9"/>
    <w:rPr>
      <w:rFonts w:cstheme="majorBidi"/>
      <w:color w:val="2F5597" w:themeColor="accent1" w:themeShade="BF"/>
      <w:sz w:val="24"/>
      <w:szCs w:val="24"/>
    </w:rPr>
  </w:style>
  <w:style w:type="character" w:customStyle="1" w:styleId="26">
    <w:name w:val="标题 6 字符"/>
    <w:basedOn w:val="19"/>
    <w:link w:val="7"/>
    <w:semiHidden/>
    <w:qFormat/>
    <w:uiPriority w:val="9"/>
    <w:rPr>
      <w:rFonts w:cstheme="majorBidi"/>
      <w:b/>
      <w:bCs/>
      <w:color w:val="2F5597"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明显参考1"/>
    <w:basedOn w:val="19"/>
    <w:qFormat/>
    <w:uiPriority w:val="32"/>
    <w:rPr>
      <w:b/>
      <w:bCs/>
      <w:smallCaps/>
      <w:color w:val="2F5597"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 w:type="character" w:customStyle="1" w:styleId="41">
    <w:name w:val="批注框文本 字符"/>
    <w:basedOn w:val="19"/>
    <w:link w:val="11"/>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1126</Words>
  <Characters>1153</Characters>
  <Lines>9</Lines>
  <Paragraphs>2</Paragraphs>
  <TotalTime>15</TotalTime>
  <ScaleCrop>false</ScaleCrop>
  <LinksUpToDate>false</LinksUpToDate>
  <CharactersWithSpaces>1186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2025-11-30T13:30:00Z</dcterms:created>
  <dc:creator>chen liang</dc:creator>
  <cp:lastModifiedBy>小奥很</cp:lastModifiedBy>
  <cp:lastPrinted>2025-12-05T02:12:00Z</cp:lastPrinted>
  <dcterms:modified xsi:type="dcterms:W3CDTF">2026-09-17T03:22:40Z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eyJoZGlkIjoiODU0NzdiYWVlMWEzYjc1ZWY1Nzc2N2VlYmY5ZGY5ZjEiLCJ1c2VySWQiOiI2MzU3OTM1MzQifQ==</vt:lpwstr>
  </property>
  <property fmtid="{D5CDD505-2E9C-101B-9397-08002B2CF9AE}" pid="3" name="KSOProductBuildVer">
    <vt:lpwstr>2052-12.1.0.28505</vt:lpwstr>
  </property>
  <property fmtid="{D5CDD505-2E9C-101B-9397-08002B2CF9AE}" pid="4" name="ICV">
    <vt:lpwstr>C2AD3EE2B9214A8C84D898C0ED2757C6_13</vt:lpwstr>
  </property>
</Properties>
</file>