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3476E">
      <w:pPr>
        <w:widowControl/>
        <w:jc w:val="left"/>
        <w:rPr>
          <w:rFonts w:hint="eastAsia" w:ascii="宋体" w:hAnsi="宋体" w:eastAsia="宋体"/>
        </w:rPr>
      </w:pPr>
    </w:p>
    <w:tbl>
      <w:tblPr>
        <w:tblStyle w:val="16"/>
        <w:tblW w:w="10323" w:type="dxa"/>
        <w:jc w:val="center"/>
        <w:tblLayout w:type="fixed"/>
        <w:tblCellMar>
          <w:top w:w="0" w:type="dxa"/>
          <w:left w:w="108" w:type="dxa"/>
          <w:bottom w:w="0" w:type="dxa"/>
          <w:right w:w="108" w:type="dxa"/>
        </w:tblCellMar>
      </w:tblPr>
      <w:tblGrid>
        <w:gridCol w:w="578"/>
        <w:gridCol w:w="4812"/>
        <w:gridCol w:w="4933"/>
      </w:tblGrid>
      <w:tr w14:paraId="5671976D">
        <w:tblPrEx>
          <w:tblCellMar>
            <w:top w:w="0" w:type="dxa"/>
            <w:left w:w="108" w:type="dxa"/>
            <w:bottom w:w="0" w:type="dxa"/>
            <w:right w:w="108" w:type="dxa"/>
          </w:tblCellMar>
        </w:tblPrEx>
        <w:trPr>
          <w:trHeight w:val="703" w:hRule="atLeast"/>
          <w:jc w:val="center"/>
        </w:trPr>
        <w:tc>
          <w:tcPr>
            <w:tcW w:w="10323" w:type="dxa"/>
            <w:gridSpan w:val="3"/>
            <w:tcBorders>
              <w:top w:val="nil"/>
              <w:left w:val="nil"/>
              <w:bottom w:val="nil"/>
              <w:right w:val="nil"/>
            </w:tcBorders>
            <w:vAlign w:val="center"/>
          </w:tcPr>
          <w:p w14:paraId="63448365">
            <w:pPr>
              <w:widowControl/>
              <w:jc w:val="center"/>
              <w:textAlignment w:val="center"/>
              <w:rPr>
                <w:rFonts w:hint="eastAsia" w:ascii="宋体" w:hAnsi="宋体" w:eastAsia="宋体"/>
                <w:b/>
                <w:bCs/>
                <w:color w:val="000000"/>
                <w:sz w:val="40"/>
                <w:szCs w:val="40"/>
              </w:rPr>
            </w:pPr>
            <w:r>
              <w:rPr>
                <w:rFonts w:hint="eastAsia" w:ascii="宋体" w:hAnsi="宋体" w:eastAsia="宋体"/>
                <w:b/>
                <w:bCs/>
                <w:color w:val="000000"/>
                <w:kern w:val="0"/>
                <w:sz w:val="44"/>
                <w:szCs w:val="44"/>
              </w:rPr>
              <w:t>采购需求表</w:t>
            </w:r>
          </w:p>
        </w:tc>
      </w:tr>
      <w:tr w14:paraId="5519FA71">
        <w:tblPrEx>
          <w:tblCellMar>
            <w:top w:w="0" w:type="dxa"/>
            <w:left w:w="108" w:type="dxa"/>
            <w:bottom w:w="0" w:type="dxa"/>
            <w:right w:w="108" w:type="dxa"/>
          </w:tblCellMar>
        </w:tblPrEx>
        <w:trPr>
          <w:trHeight w:val="703" w:hRule="atLeast"/>
          <w:jc w:val="center"/>
        </w:trPr>
        <w:tc>
          <w:tcPr>
            <w:tcW w:w="578" w:type="dxa"/>
            <w:tcBorders>
              <w:top w:val="single" w:color="000000" w:sz="4" w:space="0"/>
              <w:left w:val="single" w:color="000000" w:sz="4" w:space="0"/>
              <w:right w:val="single" w:color="000000" w:sz="4" w:space="0"/>
            </w:tcBorders>
            <w:vAlign w:val="center"/>
          </w:tcPr>
          <w:p w14:paraId="500F010C">
            <w:pPr>
              <w:widowControl/>
              <w:jc w:val="left"/>
              <w:rPr>
                <w:rFonts w:hint="eastAsia" w:ascii="宋体" w:hAnsi="宋体" w:eastAsia="宋体" w:cs="宋体"/>
                <w:color w:val="000000"/>
                <w:sz w:val="32"/>
                <w:szCs w:val="32"/>
              </w:rPr>
            </w:pPr>
          </w:p>
        </w:tc>
        <w:tc>
          <w:tcPr>
            <w:tcW w:w="4812" w:type="dxa"/>
            <w:tcBorders>
              <w:top w:val="single" w:color="000000" w:sz="4" w:space="0"/>
              <w:left w:val="nil"/>
              <w:bottom w:val="single" w:color="000000" w:sz="4" w:space="0"/>
              <w:right w:val="single" w:color="000000" w:sz="4" w:space="0"/>
            </w:tcBorders>
            <w:vAlign w:val="center"/>
          </w:tcPr>
          <w:p w14:paraId="6AA7F88E">
            <w:pPr>
              <w:widowControl/>
              <w:spacing w:line="240" w:lineRule="exact"/>
              <w:contextualSpacing/>
              <w:jc w:val="center"/>
              <w:textAlignment w:val="center"/>
              <w:rPr>
                <w:rFonts w:hint="eastAsia" w:ascii="宋体" w:hAnsi="宋体" w:eastAsia="宋体"/>
                <w:color w:val="000000"/>
                <w:kern w:val="0"/>
                <w:sz w:val="24"/>
                <w:szCs w:val="24"/>
              </w:rPr>
            </w:pPr>
            <w:r>
              <w:rPr>
                <w:rFonts w:hint="eastAsia" w:ascii="宋体" w:hAnsi="宋体" w:eastAsia="宋体"/>
                <w:color w:val="000000"/>
                <w:kern w:val="0"/>
                <w:sz w:val="24"/>
                <w:szCs w:val="24"/>
              </w:rPr>
              <w:t>项目名称</w:t>
            </w:r>
          </w:p>
        </w:tc>
        <w:tc>
          <w:tcPr>
            <w:tcW w:w="4933" w:type="dxa"/>
            <w:tcBorders>
              <w:top w:val="single" w:color="000000" w:sz="4" w:space="0"/>
              <w:left w:val="nil"/>
              <w:bottom w:val="single" w:color="000000" w:sz="4" w:space="0"/>
              <w:right w:val="single" w:color="000000" w:sz="4" w:space="0"/>
            </w:tcBorders>
            <w:vAlign w:val="center"/>
          </w:tcPr>
          <w:p w14:paraId="48F75F90">
            <w:pPr>
              <w:spacing w:line="240" w:lineRule="exact"/>
              <w:contextualSpacing/>
              <w:jc w:val="center"/>
              <w:rPr>
                <w:rFonts w:hint="eastAsia" w:ascii="宋体" w:hAnsi="宋体" w:eastAsia="宋体"/>
                <w:bCs/>
                <w:color w:val="000000"/>
                <w:sz w:val="24"/>
                <w:szCs w:val="24"/>
                <w:lang w:val="en-US" w:eastAsia="zh-CN"/>
              </w:rPr>
            </w:pPr>
            <w:r>
              <w:rPr>
                <w:rFonts w:hint="eastAsia" w:ascii="宋体" w:hAnsi="宋体" w:eastAsia="宋体"/>
                <w:bCs/>
                <w:color w:val="000000"/>
                <w:sz w:val="24"/>
                <w:szCs w:val="24"/>
                <w:lang w:eastAsia="zh-CN"/>
              </w:rPr>
              <w:t>RIS/PACS</w:t>
            </w:r>
            <w:r>
              <w:rPr>
                <w:rFonts w:hint="eastAsia" w:ascii="宋体" w:hAnsi="宋体" w:eastAsia="宋体"/>
                <w:bCs/>
                <w:color w:val="000000"/>
                <w:sz w:val="24"/>
                <w:szCs w:val="24"/>
              </w:rPr>
              <w:t>系统</w:t>
            </w:r>
            <w:r>
              <w:rPr>
                <w:rFonts w:hint="eastAsia" w:ascii="宋体" w:hAnsi="宋体" w:eastAsia="宋体"/>
                <w:bCs/>
                <w:color w:val="000000"/>
                <w:sz w:val="24"/>
                <w:szCs w:val="24"/>
                <w:lang w:val="en-US" w:eastAsia="zh-CN"/>
              </w:rPr>
              <w:t>运维</w:t>
            </w:r>
          </w:p>
        </w:tc>
      </w:tr>
      <w:tr w14:paraId="78099069">
        <w:tblPrEx>
          <w:tblCellMar>
            <w:top w:w="0" w:type="dxa"/>
            <w:left w:w="108" w:type="dxa"/>
            <w:bottom w:w="0" w:type="dxa"/>
            <w:right w:w="108" w:type="dxa"/>
          </w:tblCellMar>
        </w:tblPrEx>
        <w:trPr>
          <w:trHeight w:val="547" w:hRule="atLeast"/>
          <w:jc w:val="center"/>
        </w:trPr>
        <w:tc>
          <w:tcPr>
            <w:tcW w:w="578" w:type="dxa"/>
            <w:vMerge w:val="restart"/>
            <w:tcBorders>
              <w:top w:val="nil"/>
              <w:left w:val="single" w:color="000000" w:sz="4" w:space="0"/>
              <w:bottom w:val="single" w:color="000000" w:sz="4" w:space="0"/>
              <w:right w:val="single" w:color="000000" w:sz="4" w:space="0"/>
            </w:tcBorders>
            <w:vAlign w:val="center"/>
          </w:tcPr>
          <w:p w14:paraId="70FD1F09">
            <w:pPr>
              <w:contextualSpacing/>
              <w:rPr>
                <w:rFonts w:hint="eastAsia" w:ascii="宋体" w:hAnsi="宋体" w:eastAsia="宋体"/>
                <w:color w:val="000000"/>
                <w:sz w:val="24"/>
                <w:szCs w:val="24"/>
              </w:rPr>
            </w:pPr>
            <w:r>
              <w:rPr>
                <w:rFonts w:hint="eastAsia" w:ascii="宋体" w:hAnsi="宋体" w:eastAsia="宋体"/>
                <w:color w:val="000000"/>
                <w:sz w:val="24"/>
                <w:szCs w:val="24"/>
              </w:rPr>
              <w:t>参数需求</w:t>
            </w:r>
          </w:p>
        </w:tc>
        <w:tc>
          <w:tcPr>
            <w:tcW w:w="4812" w:type="dxa"/>
            <w:tcBorders>
              <w:top w:val="single" w:color="000000" w:sz="4" w:space="0"/>
              <w:left w:val="nil"/>
              <w:bottom w:val="single" w:color="000000" w:sz="4" w:space="0"/>
              <w:right w:val="single" w:color="000000" w:sz="4" w:space="0"/>
            </w:tcBorders>
            <w:vAlign w:val="center"/>
          </w:tcPr>
          <w:p w14:paraId="399C9880">
            <w:pPr>
              <w:contextualSpacing/>
              <w:rPr>
                <w:rFonts w:hint="eastAsia" w:ascii="宋体" w:hAnsi="宋体" w:eastAsia="宋体"/>
                <w:color w:val="000000"/>
                <w:sz w:val="24"/>
                <w:szCs w:val="24"/>
              </w:rPr>
            </w:pPr>
            <w:r>
              <w:rPr>
                <w:rFonts w:hint="eastAsia" w:ascii="宋体" w:hAnsi="宋体" w:eastAsia="宋体"/>
                <w:color w:val="000000"/>
                <w:sz w:val="24"/>
                <w:szCs w:val="24"/>
              </w:rPr>
              <w:t>技术和性能参数需求</w:t>
            </w:r>
          </w:p>
        </w:tc>
        <w:tc>
          <w:tcPr>
            <w:tcW w:w="4933" w:type="dxa"/>
            <w:tcBorders>
              <w:top w:val="single" w:color="000000" w:sz="4" w:space="0"/>
              <w:left w:val="nil"/>
              <w:bottom w:val="single" w:color="000000" w:sz="4" w:space="0"/>
              <w:right w:val="single" w:color="000000" w:sz="4" w:space="0"/>
            </w:tcBorders>
            <w:vAlign w:val="center"/>
          </w:tcPr>
          <w:p w14:paraId="479346A2">
            <w:pPr>
              <w:widowControl/>
              <w:jc w:val="center"/>
              <w:textAlignment w:val="center"/>
              <w:rPr>
                <w:rFonts w:hint="eastAsia" w:ascii="宋体" w:hAnsi="宋体" w:eastAsia="宋体"/>
                <w:color w:val="000000"/>
                <w:kern w:val="0"/>
                <w:sz w:val="24"/>
                <w:szCs w:val="24"/>
              </w:rPr>
            </w:pPr>
            <w:r>
              <w:rPr>
                <w:rFonts w:hint="eastAsia" w:ascii="宋体" w:hAnsi="宋体" w:eastAsia="宋体"/>
                <w:color w:val="000000"/>
                <w:kern w:val="0"/>
                <w:sz w:val="24"/>
                <w:szCs w:val="24"/>
              </w:rPr>
              <w:t>配置需求</w:t>
            </w:r>
          </w:p>
        </w:tc>
      </w:tr>
      <w:tr w14:paraId="2F31DF57">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21F60B00">
            <w:pPr>
              <w:contextualSpacing/>
              <w:rPr>
                <w:rFonts w:hint="eastAsia" w:ascii="宋体" w:hAnsi="宋体" w:eastAsia="宋体"/>
                <w:color w:val="000000"/>
                <w:sz w:val="24"/>
                <w:szCs w:val="24"/>
              </w:rPr>
            </w:pPr>
          </w:p>
        </w:tc>
        <w:tc>
          <w:tcPr>
            <w:tcW w:w="4812" w:type="dxa"/>
            <w:vMerge w:val="restart"/>
            <w:tcBorders>
              <w:top w:val="nil"/>
              <w:left w:val="nil"/>
              <w:bottom w:val="single" w:color="000000" w:sz="4" w:space="0"/>
              <w:right w:val="single" w:color="000000" w:sz="4" w:space="0"/>
            </w:tcBorders>
            <w:vAlign w:val="center"/>
          </w:tcPr>
          <w:p w14:paraId="5419CAB1">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1、服务时间：</w:t>
            </w:r>
          </w:p>
          <w:p w14:paraId="7C81DC96">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(1)提供7* 24小时服务。</w:t>
            </w:r>
          </w:p>
          <w:p w14:paraId="1CF8631A">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(2)提供远程、电话维护服务，必要时提供上门服务。</w:t>
            </w:r>
          </w:p>
          <w:p w14:paraId="7FFE929D">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2、响应时间：</w:t>
            </w:r>
          </w:p>
          <w:p w14:paraId="644B9DC0">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故障响应时间为30分钟内，维护人员48小时内解决故障，因天气等不可抗力和人为故意损坏引起故障因素除外。</w:t>
            </w:r>
          </w:p>
          <w:p w14:paraId="43EFAD62">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3、服务条款</w:t>
            </w:r>
          </w:p>
          <w:p w14:paraId="5CDB7240">
            <w:pPr>
              <w:pageBreakBefore w:val="0"/>
              <w:widowControl w:val="0"/>
              <w:kinsoku/>
              <w:wordWrap/>
              <w:overflowPunct/>
              <w:topLinePunct w:val="0"/>
              <w:autoSpaceDE/>
              <w:autoSpaceDN/>
              <w:bidi w:val="0"/>
              <w:adjustRightInd/>
              <w:snapToGrid/>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(1)提供影像诊断</w:t>
            </w:r>
            <w:r>
              <w:rPr>
                <w:rFonts w:hint="eastAsia" w:ascii="宋体" w:hAnsi="宋体" w:eastAsia="宋体" w:cs="宋体"/>
                <w:color w:val="auto"/>
                <w:sz w:val="18"/>
                <w:szCs w:val="18"/>
                <w:highlight w:val="none"/>
                <w:lang w:val="en-US" w:eastAsia="zh-CN"/>
              </w:rPr>
              <w:t>科</w:t>
            </w:r>
            <w:r>
              <w:rPr>
                <w:rFonts w:hint="eastAsia" w:ascii="宋体" w:hAnsi="宋体" w:eastAsia="宋体" w:cs="宋体"/>
                <w:color w:val="auto"/>
                <w:sz w:val="18"/>
                <w:szCs w:val="18"/>
                <w:highlight w:val="none"/>
                <w:lang w:eastAsia="zh-CN"/>
              </w:rPr>
              <w:t>当前使用的软件系统的技术支持服务，</w:t>
            </w:r>
            <w:r>
              <w:rPr>
                <w:rFonts w:hint="eastAsia" w:ascii="宋体" w:hAnsi="宋体" w:eastAsia="宋体" w:cs="宋体"/>
                <w:color w:val="auto"/>
                <w:sz w:val="18"/>
                <w:szCs w:val="18"/>
                <w:highlight w:val="none"/>
                <w:lang w:val="en-US" w:eastAsia="zh-CN"/>
              </w:rPr>
              <w:t>维保期1年。</w:t>
            </w:r>
          </w:p>
          <w:p w14:paraId="30EB1CAA">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(2)免费提供系统使用疑难问题解答服务。</w:t>
            </w:r>
          </w:p>
          <w:p w14:paraId="64A9D3B0">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3</w:t>
            </w:r>
            <w:r>
              <w:rPr>
                <w:rFonts w:hint="eastAsia" w:ascii="宋体" w:hAnsi="宋体" w:eastAsia="宋体" w:cs="宋体"/>
                <w:color w:val="auto"/>
                <w:sz w:val="18"/>
                <w:szCs w:val="18"/>
                <w:highlight w:val="none"/>
                <w:lang w:eastAsia="zh-CN"/>
              </w:rPr>
              <w:t>)现场服务：</w:t>
            </w:r>
            <w:r>
              <w:rPr>
                <w:rFonts w:hint="eastAsia" w:ascii="宋体" w:hAnsi="宋体" w:eastAsia="宋体" w:cs="宋体"/>
                <w:color w:val="auto"/>
                <w:sz w:val="18"/>
                <w:szCs w:val="18"/>
                <w:highlight w:val="none"/>
                <w:lang w:val="en-US" w:eastAsia="zh-CN"/>
              </w:rPr>
              <w:t>固定时间（每月1次）到医院进行现场运维工作，以签到为准。</w:t>
            </w:r>
            <w:r>
              <w:rPr>
                <w:rFonts w:hint="eastAsia" w:ascii="宋体" w:hAnsi="宋体" w:eastAsia="宋体" w:cs="宋体"/>
                <w:color w:val="auto"/>
                <w:sz w:val="18"/>
                <w:szCs w:val="18"/>
                <w:highlight w:val="none"/>
                <w:lang w:eastAsia="zh-CN"/>
              </w:rPr>
              <w:t>由于环境、设备、人为等原因，通过电话无法排除的故障时，应在医院发出故障信息通知后2小时内派遣工程师到达现场，协助恢复系统的运行，并在排除故障后1日内将故障原因、解决办法、处理结果上报给医院。</w:t>
            </w:r>
          </w:p>
          <w:p w14:paraId="493CA6CF">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(3)每年定期上门巡检服务共计2次；主要包括：检查服务器端数据库冗余情况、故障排查、数据备份。</w:t>
            </w:r>
          </w:p>
          <w:p w14:paraId="1AC9101E">
            <w:pPr>
              <w:pageBreakBefore w:val="0"/>
              <w:widowControl w:val="0"/>
              <w:kinsoku/>
              <w:wordWrap/>
              <w:overflowPunct/>
              <w:topLinePunct w:val="0"/>
              <w:autoSpaceDE/>
              <w:autoSpaceDN/>
              <w:bidi w:val="0"/>
              <w:adjustRightInd/>
              <w:snapToGrid/>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(4)供应商须提供</w:t>
            </w:r>
            <w:r>
              <w:rPr>
                <w:rFonts w:hint="default" w:ascii="宋体" w:hAnsi="宋体" w:eastAsia="宋体" w:cs="宋体"/>
                <w:color w:val="auto"/>
                <w:sz w:val="18"/>
                <w:szCs w:val="18"/>
                <w:highlight w:val="none"/>
                <w:lang w:val="en-US" w:eastAsia="zh-CN"/>
              </w:rPr>
              <w:t>同周期版本升级、补丁更新</w:t>
            </w:r>
            <w:r>
              <w:rPr>
                <w:rFonts w:hint="eastAsia" w:ascii="宋体" w:hAnsi="宋体" w:eastAsia="宋体" w:cs="宋体"/>
                <w:color w:val="auto"/>
                <w:sz w:val="18"/>
                <w:szCs w:val="18"/>
                <w:highlight w:val="none"/>
                <w:lang w:val="en-US" w:eastAsia="zh-CN"/>
              </w:rPr>
              <w:t>以及提供合同期内RIS功能改造服务。</w:t>
            </w:r>
          </w:p>
          <w:p w14:paraId="68AC3624">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(5)供应商须为医院现有及合同期内新购置的信息系统（含 HIS、RIS、PACS、EMR、DICOM协议等）提供接口全生命周期服务，涵盖需求调研、设计、开发、联调、测试、上线、运维及版本适配，含数据接入与对外共享；因国家、省、市卫生健康、医保、财政等主管部门政策法规或监管要求引起的接口新增、改造、迁移及数据补报，须主动跟踪并于生效时点前完成上线；相关费用均含于合同总价，供应商不得以第三方或政策变动为由追加。</w:t>
            </w:r>
          </w:p>
          <w:p w14:paraId="30DCD410">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6</w:t>
            </w:r>
            <w:r>
              <w:rPr>
                <w:rFonts w:hint="eastAsia" w:ascii="宋体" w:hAnsi="宋体" w:eastAsia="宋体" w:cs="宋体"/>
                <w:color w:val="auto"/>
                <w:sz w:val="18"/>
                <w:szCs w:val="18"/>
                <w:highlight w:val="none"/>
                <w:lang w:eastAsia="zh-CN"/>
              </w:rPr>
              <w:t>)每年至少提供2次免费技术培训。</w:t>
            </w:r>
          </w:p>
          <w:p w14:paraId="67256794">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7</w:t>
            </w:r>
            <w:r>
              <w:rPr>
                <w:rFonts w:hint="eastAsia" w:ascii="宋体" w:hAnsi="宋体" w:eastAsia="宋体" w:cs="宋体"/>
                <w:color w:val="auto"/>
                <w:sz w:val="18"/>
                <w:szCs w:val="18"/>
                <w:highlight w:val="none"/>
                <w:lang w:eastAsia="zh-CN"/>
              </w:rPr>
              <w:t>)满足等保三级安全要求。配合医院完成信息系统安全巡查、漏洞扫描工作，对发现的系统漏洞及时完成修复加固，提交巡查及整改相关文档。</w:t>
            </w:r>
          </w:p>
          <w:p w14:paraId="6C6A7662">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8</w:t>
            </w:r>
            <w:r>
              <w:rPr>
                <w:rFonts w:hint="eastAsia" w:ascii="宋体" w:hAnsi="宋体" w:eastAsia="宋体" w:cs="宋体"/>
                <w:color w:val="auto"/>
                <w:sz w:val="18"/>
                <w:szCs w:val="18"/>
                <w:highlight w:val="none"/>
                <w:lang w:eastAsia="zh-CN"/>
              </w:rPr>
              <w:t>)</w:t>
            </w:r>
            <w:r>
              <w:rPr>
                <w:rFonts w:hint="eastAsia" w:ascii="宋体" w:hAnsi="宋体" w:eastAsia="宋体" w:cs="宋体"/>
                <w:color w:val="auto"/>
                <w:sz w:val="18"/>
                <w:szCs w:val="18"/>
                <w:highlight w:val="none"/>
                <w:lang w:val="en-US" w:eastAsia="zh-CN"/>
              </w:rPr>
              <w:t>供应商须签署保密协议，严格遵守患者隐私与数据安全相关法规要求。</w:t>
            </w:r>
          </w:p>
          <w:p w14:paraId="03D8944D">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5、考核要求</w:t>
            </w:r>
          </w:p>
          <w:p w14:paraId="6D9FE744">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1、处理问题响应及时有效，运维服务未按指定时间响应，按合同约定处理；</w:t>
            </w:r>
          </w:p>
          <w:p w14:paraId="786E5F32">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2、用户评价调查满意度要求大于95%。若用户满意度低于指标要求，按合同约定处理；</w:t>
            </w:r>
          </w:p>
          <w:p w14:paraId="26E63A3B">
            <w:pPr>
              <w:pageBreakBefore w:val="0"/>
              <w:widowControl w:val="0"/>
              <w:kinsoku/>
              <w:wordWrap/>
              <w:overflowPunct/>
              <w:topLinePunct w:val="0"/>
              <w:autoSpaceDE/>
              <w:autoSpaceDN/>
              <w:bidi w:val="0"/>
              <w:adjustRightInd/>
              <w:snapToGrid/>
              <w:textAlignment w:val="auto"/>
              <w:rPr>
                <w:rFonts w:hint="eastAsia"/>
              </w:rPr>
            </w:pPr>
            <w:r>
              <w:rPr>
                <w:rFonts w:hint="eastAsia" w:ascii="宋体" w:hAnsi="宋体" w:eastAsia="宋体" w:cs="宋体"/>
                <w:color w:val="auto"/>
                <w:sz w:val="18"/>
                <w:szCs w:val="18"/>
                <w:highlight w:val="none"/>
                <w:lang w:eastAsia="zh-CN"/>
              </w:rPr>
              <w:t>3、因运维服务导致的用户投诉或不良事件，一经查实，按合同约定处理；</w:t>
            </w:r>
          </w:p>
        </w:tc>
        <w:tc>
          <w:tcPr>
            <w:tcW w:w="4933" w:type="dxa"/>
            <w:vMerge w:val="restart"/>
            <w:tcBorders>
              <w:top w:val="nil"/>
              <w:left w:val="nil"/>
              <w:bottom w:val="single" w:color="000000" w:sz="4" w:space="0"/>
              <w:right w:val="single" w:color="000000" w:sz="4" w:space="0"/>
            </w:tcBorders>
            <w:vAlign w:val="center"/>
          </w:tcPr>
          <w:p w14:paraId="5F255186">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一、公司资质要求：</w:t>
            </w:r>
          </w:p>
          <w:p w14:paraId="550079D5">
            <w:pPr>
              <w:pageBreakBefore w:val="0"/>
              <w:widowControl w:val="0"/>
              <w:kinsoku/>
              <w:wordWrap/>
              <w:overflowPunct/>
              <w:topLinePunct w:val="0"/>
              <w:autoSpaceDE/>
              <w:autoSpaceDN/>
              <w:bidi w:val="0"/>
              <w:adjustRightInd/>
              <w:snapToGrid/>
              <w:textAlignment w:val="auto"/>
              <w:rPr>
                <w:rFonts w:hint="default"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1、投标人须具备三年以上三甲医院的PACS/医学影像信息系统运维服务经验；</w:t>
            </w:r>
          </w:p>
          <w:p w14:paraId="7BB5BB27">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二、运维人员配置要求：</w:t>
            </w:r>
          </w:p>
          <w:p w14:paraId="563202E6">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1、供应商团队须配备具有PACS/医学影像信息系统相关工作一年以上工作经历的固定运维人员，未经医院书面许可，不得擅自更换运维人员。如确有人员更换需求，应提前 30 日提交申请，经医院审核同意后方可完成人员更替，并完整做好岗位工作交接，保障业务连续稳定运行。</w:t>
            </w:r>
          </w:p>
          <w:p w14:paraId="6411E0D1">
            <w:pPr>
              <w:pageBreakBefore w:val="0"/>
              <w:widowControl w:val="0"/>
              <w:kinsoku/>
              <w:wordWrap/>
              <w:overflowPunct/>
              <w:topLinePunct w:val="0"/>
              <w:autoSpaceDE/>
              <w:autoSpaceDN/>
              <w:bidi w:val="0"/>
              <w:adjustRightInd/>
              <w:snapToGrid/>
              <w:textAlignment w:val="auto"/>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2、如果医院认为运维人员在工作中未尽到应有的主要义务或无法胜任工作，医院有权要求更换，并在一周内提供合适的候选人供院方挑选并上岗工作。</w:t>
            </w:r>
          </w:p>
          <w:p w14:paraId="32D60EC6">
            <w:pPr>
              <w:pageBreakBefore w:val="0"/>
              <w:widowControl w:val="0"/>
              <w:kinsoku/>
              <w:wordWrap/>
              <w:overflowPunct/>
              <w:topLinePunct w:val="0"/>
              <w:autoSpaceDE/>
              <w:autoSpaceDN/>
              <w:bidi w:val="0"/>
              <w:adjustRightInd/>
              <w:snapToGrid/>
              <w:textAlignment w:val="auto"/>
              <w:rPr>
                <w:rFonts w:hint="eastAsia" w:ascii="宋体" w:hAnsi="宋体" w:eastAsia="宋体"/>
              </w:rPr>
            </w:pPr>
            <w:r>
              <w:rPr>
                <w:rFonts w:hint="eastAsia" w:ascii="宋体" w:hAnsi="宋体" w:eastAsia="宋体" w:cs="宋体"/>
                <w:color w:val="auto"/>
                <w:sz w:val="18"/>
                <w:szCs w:val="18"/>
                <w:highlight w:val="none"/>
                <w:lang w:val="en-US" w:eastAsia="zh-CN"/>
              </w:rPr>
              <w:t>3、配置的全部技术服务人员，须提供投标单位为其缴纳的距今 1年及以上的社保缴纳证明材料。</w:t>
            </w:r>
          </w:p>
        </w:tc>
      </w:tr>
      <w:tr w14:paraId="32051178">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2751DCB5">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0A8CC5E7">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5590E098">
            <w:pPr>
              <w:widowControl/>
              <w:jc w:val="left"/>
              <w:rPr>
                <w:rFonts w:hint="eastAsia" w:ascii="宋体" w:hAnsi="宋体" w:eastAsia="宋体" w:cs="宋体"/>
                <w:color w:val="000000"/>
                <w:sz w:val="24"/>
                <w:szCs w:val="24"/>
              </w:rPr>
            </w:pPr>
          </w:p>
        </w:tc>
      </w:tr>
      <w:tr w14:paraId="36CF72C1">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77BF1CD">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38F80AB5">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1EBF954D">
            <w:pPr>
              <w:widowControl/>
              <w:jc w:val="left"/>
              <w:rPr>
                <w:rFonts w:hint="eastAsia" w:ascii="宋体" w:hAnsi="宋体" w:eastAsia="宋体" w:cs="宋体"/>
                <w:color w:val="000000"/>
                <w:sz w:val="24"/>
                <w:szCs w:val="24"/>
              </w:rPr>
            </w:pPr>
          </w:p>
        </w:tc>
      </w:tr>
      <w:tr w14:paraId="22C4AC96">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4F723067">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6AB7B489">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2495D2CC">
            <w:pPr>
              <w:widowControl/>
              <w:jc w:val="left"/>
              <w:rPr>
                <w:rFonts w:hint="eastAsia" w:ascii="宋体" w:hAnsi="宋体" w:eastAsia="宋体" w:cs="宋体"/>
                <w:color w:val="000000"/>
                <w:sz w:val="24"/>
                <w:szCs w:val="24"/>
              </w:rPr>
            </w:pPr>
          </w:p>
        </w:tc>
      </w:tr>
      <w:tr w14:paraId="6B7875F5">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6E1DAD1D">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03871B57">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713077FF">
            <w:pPr>
              <w:widowControl/>
              <w:jc w:val="left"/>
              <w:rPr>
                <w:rFonts w:hint="eastAsia" w:ascii="宋体" w:hAnsi="宋体" w:eastAsia="宋体" w:cs="宋体"/>
                <w:color w:val="000000"/>
                <w:sz w:val="24"/>
                <w:szCs w:val="24"/>
              </w:rPr>
            </w:pPr>
          </w:p>
        </w:tc>
      </w:tr>
      <w:tr w14:paraId="03440FF8">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7522FD1">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7701297B">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02A15B9C">
            <w:pPr>
              <w:widowControl/>
              <w:jc w:val="left"/>
              <w:rPr>
                <w:rFonts w:hint="eastAsia" w:ascii="宋体" w:hAnsi="宋体" w:eastAsia="宋体" w:cs="宋体"/>
                <w:color w:val="000000"/>
                <w:sz w:val="24"/>
                <w:szCs w:val="24"/>
              </w:rPr>
            </w:pPr>
          </w:p>
        </w:tc>
      </w:tr>
      <w:tr w14:paraId="538DF819">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65255B96">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653766B2">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196BB1BA">
            <w:pPr>
              <w:widowControl/>
              <w:jc w:val="left"/>
              <w:rPr>
                <w:rFonts w:hint="eastAsia" w:ascii="宋体" w:hAnsi="宋体" w:eastAsia="宋体" w:cs="宋体"/>
                <w:color w:val="000000"/>
                <w:sz w:val="24"/>
                <w:szCs w:val="24"/>
              </w:rPr>
            </w:pPr>
          </w:p>
        </w:tc>
      </w:tr>
      <w:tr w14:paraId="637B19F1">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873B485">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59E11933">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2B908CED">
            <w:pPr>
              <w:widowControl/>
              <w:jc w:val="left"/>
              <w:rPr>
                <w:rFonts w:hint="eastAsia" w:ascii="宋体" w:hAnsi="宋体" w:eastAsia="宋体" w:cs="宋体"/>
                <w:color w:val="000000"/>
                <w:sz w:val="24"/>
                <w:szCs w:val="24"/>
              </w:rPr>
            </w:pPr>
          </w:p>
        </w:tc>
      </w:tr>
      <w:tr w14:paraId="13F6F114">
        <w:tblPrEx>
          <w:tblCellMar>
            <w:top w:w="0" w:type="dxa"/>
            <w:left w:w="108" w:type="dxa"/>
            <w:bottom w:w="0" w:type="dxa"/>
            <w:right w:w="108" w:type="dxa"/>
          </w:tblCellMar>
        </w:tblPrEx>
        <w:trPr>
          <w:trHeight w:val="624" w:hRule="atLeast"/>
          <w:jc w:val="center"/>
        </w:trPr>
        <w:tc>
          <w:tcPr>
            <w:tcW w:w="578" w:type="dxa"/>
            <w:vMerge w:val="continue"/>
            <w:tcBorders>
              <w:top w:val="nil"/>
              <w:left w:val="single" w:color="000000" w:sz="4" w:space="0"/>
              <w:bottom w:val="single" w:color="000000" w:sz="4" w:space="0"/>
              <w:right w:val="single" w:color="000000" w:sz="4" w:space="0"/>
            </w:tcBorders>
            <w:vAlign w:val="center"/>
          </w:tcPr>
          <w:p w14:paraId="049F1516">
            <w:pPr>
              <w:widowControl/>
              <w:jc w:val="left"/>
              <w:rPr>
                <w:rFonts w:hint="eastAsia" w:ascii="宋体" w:hAnsi="宋体" w:eastAsia="宋体" w:cs="宋体"/>
                <w:b/>
                <w:bCs/>
                <w:color w:val="000000"/>
                <w:sz w:val="32"/>
                <w:szCs w:val="32"/>
              </w:rPr>
            </w:pPr>
          </w:p>
        </w:tc>
        <w:tc>
          <w:tcPr>
            <w:tcW w:w="4812" w:type="dxa"/>
            <w:vMerge w:val="continue"/>
            <w:tcBorders>
              <w:top w:val="nil"/>
              <w:left w:val="nil"/>
              <w:bottom w:val="single" w:color="000000" w:sz="4" w:space="0"/>
              <w:right w:val="single" w:color="000000" w:sz="4" w:space="0"/>
            </w:tcBorders>
            <w:vAlign w:val="center"/>
          </w:tcPr>
          <w:p w14:paraId="65F89AFF">
            <w:pPr>
              <w:widowControl/>
              <w:jc w:val="left"/>
              <w:rPr>
                <w:rFonts w:hint="eastAsia" w:ascii="宋体" w:hAnsi="宋体" w:eastAsia="宋体" w:cs="宋体"/>
                <w:color w:val="000000"/>
                <w:sz w:val="24"/>
                <w:szCs w:val="24"/>
              </w:rPr>
            </w:pPr>
          </w:p>
        </w:tc>
        <w:tc>
          <w:tcPr>
            <w:tcW w:w="4933" w:type="dxa"/>
            <w:vMerge w:val="continue"/>
            <w:tcBorders>
              <w:top w:val="nil"/>
              <w:left w:val="nil"/>
              <w:bottom w:val="single" w:color="000000" w:sz="4" w:space="0"/>
              <w:right w:val="single" w:color="000000" w:sz="4" w:space="0"/>
            </w:tcBorders>
            <w:vAlign w:val="center"/>
          </w:tcPr>
          <w:p w14:paraId="0D5F16B6">
            <w:pPr>
              <w:widowControl/>
              <w:jc w:val="left"/>
              <w:rPr>
                <w:rFonts w:hint="eastAsia" w:ascii="宋体" w:hAnsi="宋体" w:eastAsia="宋体" w:cs="宋体"/>
                <w:color w:val="000000"/>
                <w:sz w:val="24"/>
                <w:szCs w:val="24"/>
              </w:rPr>
            </w:pPr>
          </w:p>
        </w:tc>
      </w:tr>
    </w:tbl>
    <w:p w14:paraId="2BDC5CB2">
      <w:pPr>
        <w:rPr>
          <w:rFonts w:hint="eastAsia" w:ascii="宋体" w:hAnsi="宋体" w:eastAsia="宋体"/>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C2B3A99"/>
    <w:rsid w:val="10B93CC5"/>
    <w:rsid w:val="186E6002"/>
    <w:rsid w:val="21C6178A"/>
    <w:rsid w:val="3B3D0F52"/>
    <w:rsid w:val="57655621"/>
    <w:rsid w:val="6E754DFC"/>
    <w:rsid w:val="79625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20"/>
    <w:qFormat/>
    <w:uiPriority w:val="0"/>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2">
    <w:name w:val="heading 2"/>
    <w:basedOn w:val="1"/>
    <w:next w:val="1"/>
    <w:link w:val="21"/>
    <w:unhideWhenUsed/>
    <w:qFormat/>
    <w:uiPriority w:val="0"/>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22"/>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5"/>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6"/>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11">
    <w:name w:val="Balloon Text"/>
    <w:basedOn w:val="1"/>
    <w:link w:val="40"/>
    <w:unhideWhenUsed/>
    <w:qFormat/>
    <w:uiPriority w:val="99"/>
    <w:rPr>
      <w:sz w:val="18"/>
      <w:szCs w:val="18"/>
    </w:rPr>
  </w:style>
  <w:style w:type="paragraph" w:styleId="12">
    <w:name w:val="footer"/>
    <w:basedOn w:val="1"/>
    <w:link w:val="39"/>
    <w:unhideWhenUsed/>
    <w:qFormat/>
    <w:uiPriority w:val="99"/>
    <w:pPr>
      <w:tabs>
        <w:tab w:val="center" w:pos="4153"/>
        <w:tab w:val="right" w:pos="8306"/>
      </w:tabs>
      <w:snapToGrid w:val="0"/>
      <w:jc w:val="left"/>
    </w:pPr>
    <w:rPr>
      <w:sz w:val="18"/>
      <w:szCs w:val="18"/>
    </w:rPr>
  </w:style>
  <w:style w:type="paragraph" w:styleId="13">
    <w:name w:val="header"/>
    <w:basedOn w:val="1"/>
    <w:link w:val="38"/>
    <w:unhideWhenUsed/>
    <w:qFormat/>
    <w:uiPriority w:val="99"/>
    <w:pPr>
      <w:tabs>
        <w:tab w:val="center" w:pos="4153"/>
        <w:tab w:val="right" w:pos="8306"/>
      </w:tabs>
      <w:snapToGrid w:val="0"/>
      <w:jc w:val="center"/>
    </w:pPr>
    <w:rPr>
      <w:sz w:val="18"/>
      <w:szCs w:val="18"/>
    </w:rPr>
  </w:style>
  <w:style w:type="paragraph" w:styleId="14">
    <w:name w:val="Subtitle"/>
    <w:basedOn w:val="1"/>
    <w:next w:val="1"/>
    <w:link w:val="30"/>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9"/>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qFormat/>
    <w:uiPriority w:val="99"/>
    <w:rPr>
      <w:color w:val="0563C1" w:themeColor="hyperlink"/>
      <w:u w:val="single"/>
      <w14:textFill>
        <w14:solidFill>
          <w14:schemeClr w14:val="hlink"/>
        </w14:solidFill>
      </w14:textFill>
    </w:rPr>
  </w:style>
  <w:style w:type="character" w:customStyle="1" w:styleId="20">
    <w:name w:val="标题 1 字符"/>
    <w:basedOn w:val="18"/>
    <w:link w:val="3"/>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2"/>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szCs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customStyle="1" w:styleId="31">
    <w:name w:val="Quote"/>
    <w:basedOn w:val="1"/>
    <w:next w:val="1"/>
    <w:link w:val="3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customStyle="1" w:styleId="33">
    <w:name w:val="List Paragraph"/>
    <w:basedOn w:val="1"/>
    <w:qFormat/>
    <w:uiPriority w:val="34"/>
    <w:pPr>
      <w:ind w:left="720"/>
      <w:contextualSpacing/>
    </w:pPr>
  </w:style>
  <w:style w:type="character" w:customStyle="1" w:styleId="34">
    <w:name w:val="明显强调1"/>
    <w:basedOn w:val="18"/>
    <w:qFormat/>
    <w:uiPriority w:val="21"/>
    <w:rPr>
      <w:i/>
      <w:iCs/>
      <w:color w:val="2F5597" w:themeColor="accent1" w:themeShade="BF"/>
    </w:rPr>
  </w:style>
  <w:style w:type="paragraph" w:customStyle="1" w:styleId="35">
    <w:name w:val="Intense Quote"/>
    <w:basedOn w:val="1"/>
    <w:next w:val="1"/>
    <w:link w:val="3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明显参考1"/>
    <w:basedOn w:val="18"/>
    <w:qFormat/>
    <w:uiPriority w:val="32"/>
    <w:rPr>
      <w:b/>
      <w:bCs/>
      <w:smallCaps/>
      <w:color w:val="2F5597" w:themeColor="accent1" w:themeShade="BF"/>
      <w:spacing w:val="5"/>
    </w:rPr>
  </w:style>
  <w:style w:type="character" w:customStyle="1" w:styleId="38">
    <w:name w:val="页眉 字符"/>
    <w:basedOn w:val="18"/>
    <w:link w:val="13"/>
    <w:qFormat/>
    <w:uiPriority w:val="99"/>
    <w:rPr>
      <w:sz w:val="18"/>
      <w:szCs w:val="18"/>
    </w:rPr>
  </w:style>
  <w:style w:type="character" w:customStyle="1" w:styleId="39">
    <w:name w:val="页脚 字符"/>
    <w:basedOn w:val="18"/>
    <w:link w:val="12"/>
    <w:qFormat/>
    <w:uiPriority w:val="99"/>
    <w:rPr>
      <w:sz w:val="18"/>
      <w:szCs w:val="18"/>
    </w:rPr>
  </w:style>
  <w:style w:type="character" w:customStyle="1" w:styleId="40">
    <w:name w:val="批注框文本 字符"/>
    <w:basedOn w:val="18"/>
    <w:link w:val="11"/>
    <w:semiHidden/>
    <w:qFormat/>
    <w:uiPriority w:val="99"/>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1293</Words>
  <Characters>1360</Characters>
  <Lines>70</Lines>
  <Paragraphs>45</Paragraphs>
  <TotalTime>4</TotalTime>
  <ScaleCrop>false</ScaleCrop>
  <LinksUpToDate>false</LinksUpToDate>
  <CharactersWithSpaces>1395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2025-12-01T13:30:00Z</dcterms:created>
  <dc:creator>chen liang</dc:creator>
  <cp:lastModifiedBy>小奥很</cp:lastModifiedBy>
  <cp:lastPrinted>2025-12-06T02:12:00Z</cp:lastPrinted>
  <dcterms:modified xsi:type="dcterms:W3CDTF">2026-09-17T03:21:26Z</dcterms:modified>
  <cp:revision>162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eyJoZGlkIjoiODU0NzdiYWVlMWEzYjc1ZWY1Nzc2N2VlYmY5ZGY5ZjEiLCJ1c2VySWQiOiI2MzU3OTM1MzQifQ==</vt:lpwstr>
  </property>
  <property fmtid="{D5CDD505-2E9C-101B-9397-08002B2CF9AE}" pid="3" name="KSOProductBuildVer">
    <vt:lpwstr>2052-12.1.0.28505</vt:lpwstr>
  </property>
  <property fmtid="{D5CDD505-2E9C-101B-9397-08002B2CF9AE}" pid="4" name="ICV">
    <vt:lpwstr>AD375BE8B0374658812707F95D80B6FF_13</vt:lpwstr>
  </property>
</Properties>
</file>