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3476E">
      <w:pPr>
        <w:widowControl/>
        <w:jc w:val="left"/>
        <w:rPr>
          <w:rFonts w:hint="eastAsia" w:ascii="宋体" w:hAnsi="宋体" w:eastAsia="宋体"/>
        </w:rPr>
      </w:pPr>
    </w:p>
    <w:tbl>
      <w:tblPr>
        <w:tblStyle w:val="16"/>
        <w:tblW w:w="10323" w:type="dxa"/>
        <w:jc w:val="center"/>
        <w:tblLayout w:type="autofit"/>
        <w:tblCellMar>
          <w:top w:w="0" w:type="dxa"/>
          <w:left w:w="108" w:type="dxa"/>
          <w:bottom w:w="0" w:type="dxa"/>
          <w:right w:w="108" w:type="dxa"/>
        </w:tblCellMar>
      </w:tblPr>
      <w:tblGrid>
        <w:gridCol w:w="578"/>
        <w:gridCol w:w="4812"/>
        <w:gridCol w:w="4933"/>
      </w:tblGrid>
      <w:tr w14:paraId="5671976D">
        <w:tblPrEx>
          <w:tblCellMar>
            <w:top w:w="0" w:type="dxa"/>
            <w:left w:w="108" w:type="dxa"/>
            <w:bottom w:w="0" w:type="dxa"/>
            <w:right w:w="108" w:type="dxa"/>
          </w:tblCellMar>
        </w:tblPrEx>
        <w:trPr>
          <w:trHeight w:val="703" w:hRule="atLeast"/>
          <w:jc w:val="center"/>
        </w:trPr>
        <w:tc>
          <w:tcPr>
            <w:tcW w:w="10323" w:type="dxa"/>
            <w:gridSpan w:val="3"/>
            <w:tcBorders>
              <w:top w:val="nil"/>
              <w:left w:val="nil"/>
              <w:bottom w:val="nil"/>
              <w:right w:val="nil"/>
            </w:tcBorders>
            <w:vAlign w:val="center"/>
          </w:tcPr>
          <w:p w14:paraId="63448365">
            <w:pPr>
              <w:widowControl/>
              <w:jc w:val="center"/>
              <w:textAlignment w:val="center"/>
              <w:rPr>
                <w:rFonts w:ascii="宋体" w:hAnsi="宋体" w:eastAsia="宋体"/>
                <w:b/>
                <w:bCs/>
                <w:color w:val="000000"/>
                <w:sz w:val="40"/>
                <w:szCs w:val="40"/>
                <w:highlight w:val="none"/>
              </w:rPr>
            </w:pPr>
            <w:r>
              <w:rPr>
                <w:rFonts w:hint="eastAsia" w:ascii="宋体" w:hAnsi="宋体" w:eastAsia="宋体"/>
                <w:b/>
                <w:bCs/>
                <w:color w:val="000000"/>
                <w:kern w:val="0"/>
                <w:sz w:val="44"/>
                <w:szCs w:val="44"/>
                <w:highlight w:val="none"/>
              </w:rPr>
              <w:t>采购需求表</w:t>
            </w:r>
          </w:p>
        </w:tc>
      </w:tr>
      <w:tr w14:paraId="5519FA71">
        <w:tblPrEx>
          <w:tblCellMar>
            <w:top w:w="0" w:type="dxa"/>
            <w:left w:w="108" w:type="dxa"/>
            <w:bottom w:w="0" w:type="dxa"/>
            <w:right w:w="108" w:type="dxa"/>
          </w:tblCellMar>
        </w:tblPrEx>
        <w:trPr>
          <w:trHeight w:val="703" w:hRule="atLeast"/>
          <w:jc w:val="center"/>
        </w:trPr>
        <w:tc>
          <w:tcPr>
            <w:tcW w:w="578" w:type="dxa"/>
            <w:vMerge w:val="restart"/>
            <w:tcBorders>
              <w:top w:val="single" w:color="000000" w:sz="4" w:space="0"/>
              <w:left w:val="single" w:color="000000" w:sz="4" w:space="0"/>
              <w:right w:val="single" w:color="000000" w:sz="4" w:space="0"/>
            </w:tcBorders>
            <w:vAlign w:val="center"/>
          </w:tcPr>
          <w:p w14:paraId="500F010C">
            <w:pPr>
              <w:widowControl/>
              <w:jc w:val="left"/>
              <w:rPr>
                <w:rFonts w:ascii="宋体" w:hAnsi="宋体" w:eastAsia="宋体" w:cs="宋体"/>
                <w:color w:val="000000"/>
                <w:sz w:val="32"/>
                <w:szCs w:val="32"/>
                <w:highlight w:val="none"/>
              </w:rPr>
            </w:pPr>
          </w:p>
        </w:tc>
        <w:tc>
          <w:tcPr>
            <w:tcW w:w="4812" w:type="dxa"/>
            <w:tcBorders>
              <w:top w:val="single" w:color="000000" w:sz="4" w:space="0"/>
              <w:left w:val="nil"/>
              <w:bottom w:val="single" w:color="000000" w:sz="4" w:space="0"/>
              <w:right w:val="single" w:color="000000" w:sz="4" w:space="0"/>
            </w:tcBorders>
            <w:vAlign w:val="center"/>
          </w:tcPr>
          <w:p w14:paraId="6AA7F88E">
            <w:pPr>
              <w:widowControl/>
              <w:spacing w:line="240" w:lineRule="exact"/>
              <w:contextualSpacing/>
              <w:jc w:val="center"/>
              <w:textAlignment w:val="center"/>
              <w:rPr>
                <w:rFonts w:ascii="宋体" w:hAnsi="宋体" w:eastAsia="宋体"/>
                <w:color w:val="000000"/>
                <w:kern w:val="0"/>
                <w:sz w:val="24"/>
                <w:szCs w:val="24"/>
                <w:highlight w:val="none"/>
              </w:rPr>
            </w:pPr>
            <w:r>
              <w:rPr>
                <w:rFonts w:hint="eastAsia" w:ascii="宋体" w:hAnsi="宋体" w:eastAsia="宋体"/>
                <w:color w:val="000000"/>
                <w:kern w:val="0"/>
                <w:sz w:val="24"/>
                <w:szCs w:val="24"/>
                <w:highlight w:val="none"/>
              </w:rPr>
              <w:t>项目名称</w:t>
            </w:r>
          </w:p>
        </w:tc>
        <w:tc>
          <w:tcPr>
            <w:tcW w:w="4933" w:type="dxa"/>
            <w:tcBorders>
              <w:top w:val="single" w:color="000000" w:sz="4" w:space="0"/>
              <w:left w:val="nil"/>
              <w:bottom w:val="single" w:color="000000" w:sz="4" w:space="0"/>
              <w:right w:val="single" w:color="000000" w:sz="4" w:space="0"/>
            </w:tcBorders>
            <w:vAlign w:val="center"/>
          </w:tcPr>
          <w:p w14:paraId="48F75F90">
            <w:pPr>
              <w:spacing w:line="240" w:lineRule="exact"/>
              <w:contextualSpacing/>
              <w:jc w:val="center"/>
              <w:rPr>
                <w:rFonts w:ascii="宋体" w:hAnsi="宋体" w:eastAsia="宋体"/>
                <w:bCs/>
                <w:color w:val="000000"/>
                <w:sz w:val="24"/>
                <w:szCs w:val="24"/>
                <w:highlight w:val="none"/>
              </w:rPr>
            </w:pPr>
            <w:r>
              <w:rPr>
                <w:rFonts w:hint="eastAsia" w:ascii="宋体" w:hAnsi="宋体" w:eastAsia="宋体"/>
                <w:bCs/>
                <w:color w:val="000000"/>
                <w:sz w:val="24"/>
                <w:szCs w:val="24"/>
                <w:highlight w:val="none"/>
              </w:rPr>
              <w:t>输血信息系统维保费</w:t>
            </w:r>
          </w:p>
        </w:tc>
      </w:tr>
      <w:tr w14:paraId="36AEF516">
        <w:tblPrEx>
          <w:tblCellMar>
            <w:top w:w="0" w:type="dxa"/>
            <w:left w:w="108" w:type="dxa"/>
            <w:bottom w:w="0" w:type="dxa"/>
            <w:right w:w="108" w:type="dxa"/>
          </w:tblCellMar>
        </w:tblPrEx>
        <w:trPr>
          <w:trHeight w:val="564"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vAlign w:val="center"/>
          </w:tcPr>
          <w:p w14:paraId="14834296">
            <w:pPr>
              <w:widowControl/>
              <w:jc w:val="left"/>
              <w:rPr>
                <w:rFonts w:ascii="宋体" w:hAnsi="宋体" w:eastAsia="宋体" w:cs="宋体"/>
                <w:color w:val="000000"/>
                <w:sz w:val="32"/>
                <w:szCs w:val="32"/>
                <w:highlight w:val="none"/>
              </w:rPr>
            </w:pPr>
          </w:p>
        </w:tc>
        <w:tc>
          <w:tcPr>
            <w:tcW w:w="4812" w:type="dxa"/>
            <w:tcBorders>
              <w:top w:val="single" w:color="000000" w:sz="4" w:space="0"/>
              <w:left w:val="nil"/>
              <w:bottom w:val="single" w:color="000000" w:sz="4" w:space="0"/>
              <w:right w:val="single" w:color="000000" w:sz="4" w:space="0"/>
            </w:tcBorders>
            <w:vAlign w:val="center"/>
          </w:tcPr>
          <w:p w14:paraId="0A9E3815">
            <w:pPr>
              <w:widowControl/>
              <w:spacing w:line="240" w:lineRule="exact"/>
              <w:contextualSpacing/>
              <w:jc w:val="center"/>
              <w:textAlignment w:val="center"/>
              <w:rPr>
                <w:rFonts w:ascii="宋体" w:hAnsi="宋体" w:eastAsia="宋体"/>
                <w:color w:val="000000"/>
                <w:kern w:val="0"/>
                <w:sz w:val="24"/>
                <w:szCs w:val="24"/>
                <w:highlight w:val="none"/>
              </w:rPr>
            </w:pPr>
            <w:r>
              <w:rPr>
                <w:rFonts w:hint="eastAsia" w:ascii="宋体" w:hAnsi="宋体" w:eastAsia="宋体"/>
                <w:color w:val="000000"/>
                <w:kern w:val="0"/>
                <w:sz w:val="24"/>
                <w:szCs w:val="24"/>
                <w:highlight w:val="none"/>
              </w:rPr>
              <w:t>数量</w:t>
            </w:r>
          </w:p>
        </w:tc>
        <w:tc>
          <w:tcPr>
            <w:tcW w:w="4933" w:type="dxa"/>
            <w:tcBorders>
              <w:top w:val="single" w:color="000000" w:sz="4" w:space="0"/>
              <w:left w:val="nil"/>
              <w:bottom w:val="single" w:color="000000" w:sz="4" w:space="0"/>
              <w:right w:val="single" w:color="000000" w:sz="4" w:space="0"/>
            </w:tcBorders>
            <w:vAlign w:val="center"/>
          </w:tcPr>
          <w:p w14:paraId="72DA2AF5">
            <w:pPr>
              <w:spacing w:line="240" w:lineRule="exact"/>
              <w:contextualSpacing/>
              <w:jc w:val="center"/>
              <w:rPr>
                <w:rFonts w:hint="eastAsia" w:ascii="宋体" w:hAnsi="宋体" w:eastAsia="宋体"/>
                <w:bCs/>
                <w:color w:val="000000"/>
                <w:sz w:val="24"/>
                <w:szCs w:val="24"/>
                <w:highlight w:val="none"/>
                <w:lang w:val="en-US" w:eastAsia="zh-CN"/>
              </w:rPr>
            </w:pPr>
            <w:r>
              <w:rPr>
                <w:rFonts w:hint="eastAsia" w:ascii="宋体" w:hAnsi="宋体" w:eastAsia="宋体"/>
                <w:bCs/>
                <w:color w:val="000000"/>
                <w:sz w:val="24"/>
                <w:szCs w:val="24"/>
                <w:highlight w:val="none"/>
                <w:lang w:val="en-US" w:eastAsia="zh-CN"/>
              </w:rPr>
              <w:t>1</w:t>
            </w:r>
          </w:p>
        </w:tc>
      </w:tr>
      <w:tr w14:paraId="78099069">
        <w:tblPrEx>
          <w:tblCellMar>
            <w:top w:w="0" w:type="dxa"/>
            <w:left w:w="108" w:type="dxa"/>
            <w:bottom w:w="0" w:type="dxa"/>
            <w:right w:w="108" w:type="dxa"/>
          </w:tblCellMar>
        </w:tblPrEx>
        <w:trPr>
          <w:trHeight w:val="547" w:hRule="atLeast"/>
          <w:jc w:val="center"/>
        </w:trPr>
        <w:tc>
          <w:tcPr>
            <w:tcW w:w="578" w:type="dxa"/>
            <w:vMerge w:val="restart"/>
            <w:tcBorders>
              <w:top w:val="nil"/>
              <w:left w:val="single" w:color="000000" w:sz="4" w:space="0"/>
              <w:bottom w:val="single" w:color="000000" w:sz="4" w:space="0"/>
              <w:right w:val="single" w:color="000000" w:sz="4" w:space="0"/>
            </w:tcBorders>
            <w:vAlign w:val="center"/>
          </w:tcPr>
          <w:p w14:paraId="70FD1F09">
            <w:pPr>
              <w:widowControl/>
              <w:spacing w:line="360" w:lineRule="auto"/>
              <w:jc w:val="left"/>
              <w:textAlignment w:val="center"/>
              <w:rPr>
                <w:rFonts w:ascii="宋体" w:hAnsi="宋体" w:eastAsia="宋体"/>
                <w:b/>
                <w:bCs/>
                <w:color w:val="000000"/>
                <w:sz w:val="32"/>
                <w:szCs w:val="32"/>
                <w:highlight w:val="none"/>
              </w:rPr>
            </w:pPr>
            <w:r>
              <w:rPr>
                <w:rFonts w:hint="eastAsia" w:ascii="宋体" w:hAnsi="宋体" w:eastAsia="宋体"/>
                <w:b/>
                <w:bCs/>
                <w:color w:val="000000"/>
                <w:spacing w:val="40"/>
                <w:kern w:val="0"/>
                <w:sz w:val="28"/>
                <w:szCs w:val="28"/>
                <w:highlight w:val="none"/>
              </w:rPr>
              <w:t>参数需</w:t>
            </w:r>
            <w:r>
              <w:rPr>
                <w:rFonts w:hint="eastAsia" w:ascii="宋体" w:hAnsi="宋体" w:eastAsia="宋体"/>
                <w:b/>
                <w:bCs/>
                <w:color w:val="000000"/>
                <w:kern w:val="0"/>
                <w:sz w:val="28"/>
                <w:szCs w:val="28"/>
                <w:highlight w:val="none"/>
              </w:rPr>
              <w:t>求</w:t>
            </w:r>
          </w:p>
        </w:tc>
        <w:tc>
          <w:tcPr>
            <w:tcW w:w="4812" w:type="dxa"/>
            <w:tcBorders>
              <w:top w:val="single" w:color="000000" w:sz="4" w:space="0"/>
              <w:left w:val="nil"/>
              <w:bottom w:val="single" w:color="000000" w:sz="4" w:space="0"/>
              <w:right w:val="single" w:color="000000" w:sz="4" w:space="0"/>
            </w:tcBorders>
            <w:vAlign w:val="center"/>
          </w:tcPr>
          <w:p w14:paraId="399C9880">
            <w:pPr>
              <w:widowControl/>
              <w:jc w:val="center"/>
              <w:textAlignment w:val="center"/>
              <w:rPr>
                <w:rFonts w:ascii="宋体" w:hAnsi="宋体" w:eastAsia="宋体"/>
                <w:color w:val="000000"/>
                <w:kern w:val="0"/>
                <w:sz w:val="24"/>
                <w:szCs w:val="24"/>
                <w:highlight w:val="none"/>
              </w:rPr>
            </w:pPr>
            <w:r>
              <w:rPr>
                <w:rFonts w:hint="eastAsia" w:ascii="宋体" w:hAnsi="宋体" w:eastAsia="宋体"/>
                <w:color w:val="000000"/>
                <w:kern w:val="0"/>
                <w:sz w:val="24"/>
                <w:szCs w:val="24"/>
                <w:highlight w:val="none"/>
              </w:rPr>
              <w:t>技术和性能参数需求</w:t>
            </w:r>
          </w:p>
        </w:tc>
        <w:tc>
          <w:tcPr>
            <w:tcW w:w="4933" w:type="dxa"/>
            <w:tcBorders>
              <w:top w:val="single" w:color="000000" w:sz="4" w:space="0"/>
              <w:left w:val="nil"/>
              <w:bottom w:val="single" w:color="000000" w:sz="4" w:space="0"/>
              <w:right w:val="single" w:color="000000" w:sz="4" w:space="0"/>
            </w:tcBorders>
            <w:vAlign w:val="center"/>
          </w:tcPr>
          <w:p w14:paraId="479346A2">
            <w:pPr>
              <w:widowControl/>
              <w:jc w:val="center"/>
              <w:textAlignment w:val="center"/>
              <w:rPr>
                <w:rFonts w:ascii="宋体" w:hAnsi="宋体" w:eastAsia="宋体"/>
                <w:color w:val="000000"/>
                <w:kern w:val="0"/>
                <w:sz w:val="24"/>
                <w:szCs w:val="24"/>
                <w:highlight w:val="none"/>
              </w:rPr>
            </w:pPr>
            <w:r>
              <w:rPr>
                <w:rFonts w:hint="eastAsia" w:ascii="宋体" w:hAnsi="宋体" w:eastAsia="宋体"/>
                <w:color w:val="000000"/>
                <w:kern w:val="0"/>
                <w:sz w:val="24"/>
                <w:szCs w:val="24"/>
                <w:highlight w:val="none"/>
              </w:rPr>
              <w:t>配置需求</w:t>
            </w:r>
          </w:p>
        </w:tc>
      </w:tr>
      <w:tr w14:paraId="2F31DF57">
        <w:tblPrEx>
          <w:tblCellMar>
            <w:top w:w="0" w:type="dxa"/>
            <w:left w:w="108" w:type="dxa"/>
            <w:bottom w:w="0" w:type="dxa"/>
            <w:right w:w="108" w:type="dxa"/>
          </w:tblCellMar>
        </w:tblPrEx>
        <w:trPr>
          <w:trHeight w:val="624" w:hRule="atLeast"/>
          <w:jc w:val="center"/>
        </w:trPr>
        <w:tc>
          <w:tcPr>
            <w:tcW w:w="578" w:type="dxa"/>
            <w:vMerge w:val="continue"/>
            <w:tcBorders>
              <w:top w:val="nil"/>
              <w:left w:val="single" w:color="000000" w:sz="4" w:space="0"/>
              <w:bottom w:val="single" w:color="000000" w:sz="4" w:space="0"/>
              <w:right w:val="single" w:color="000000" w:sz="4" w:space="0"/>
            </w:tcBorders>
            <w:vAlign w:val="center"/>
          </w:tcPr>
          <w:p w14:paraId="21F60B00">
            <w:pPr>
              <w:widowControl/>
              <w:jc w:val="left"/>
              <w:rPr>
                <w:rFonts w:ascii="宋体" w:hAnsi="宋体" w:eastAsia="宋体" w:cs="宋体"/>
                <w:b/>
                <w:bCs/>
                <w:color w:val="000000"/>
                <w:sz w:val="32"/>
                <w:szCs w:val="32"/>
                <w:highlight w:val="none"/>
              </w:rPr>
            </w:pPr>
          </w:p>
        </w:tc>
        <w:tc>
          <w:tcPr>
            <w:tcW w:w="4812" w:type="dxa"/>
            <w:vMerge w:val="restart"/>
            <w:tcBorders>
              <w:top w:val="nil"/>
              <w:left w:val="nil"/>
              <w:bottom w:val="single" w:color="000000" w:sz="4" w:space="0"/>
              <w:right w:val="single" w:color="000000" w:sz="4" w:space="0"/>
            </w:tcBorders>
            <w:vAlign w:val="center"/>
          </w:tcPr>
          <w:p w14:paraId="3CDEBDCA">
            <w:pPr>
              <w:rPr>
                <w:rFonts w:hint="eastAsia" w:ascii="宋体" w:hAnsi="宋体" w:eastAsia="宋体" w:cs="宋体"/>
                <w:sz w:val="18"/>
                <w:szCs w:val="32"/>
                <w:highlight w:val="none"/>
              </w:rPr>
            </w:pPr>
            <w:r>
              <w:rPr>
                <w:rFonts w:hint="eastAsia" w:ascii="宋体" w:hAnsi="宋体" w:eastAsia="宋体" w:cs="宋体"/>
                <w:sz w:val="18"/>
                <w:szCs w:val="32"/>
                <w:highlight w:val="none"/>
              </w:rPr>
              <w:t>一、维保范围</w:t>
            </w:r>
          </w:p>
          <w:p w14:paraId="61142F9D">
            <w:pPr>
              <w:rPr>
                <w:rFonts w:hint="eastAsia" w:ascii="宋体" w:hAnsi="宋体" w:eastAsia="宋体" w:cs="宋体"/>
                <w:sz w:val="18"/>
                <w:szCs w:val="32"/>
                <w:highlight w:val="none"/>
                <w:lang w:eastAsia="zh-CN"/>
              </w:rPr>
            </w:pPr>
            <w:r>
              <w:rPr>
                <w:rFonts w:hint="eastAsia" w:ascii="宋体" w:hAnsi="宋体" w:eastAsia="宋体" w:cs="宋体"/>
                <w:sz w:val="18"/>
                <w:szCs w:val="32"/>
                <w:highlight w:val="none"/>
                <w:lang w:val="en-US" w:eastAsia="zh-CN"/>
              </w:rPr>
              <w:t>1、</w:t>
            </w:r>
            <w:r>
              <w:rPr>
                <w:rFonts w:hint="eastAsia" w:ascii="宋体" w:hAnsi="宋体" w:eastAsia="宋体" w:cs="宋体"/>
                <w:sz w:val="18"/>
                <w:szCs w:val="32"/>
                <w:highlight w:val="none"/>
              </w:rPr>
              <w:t>维保对象：输血管理信息系统</w:t>
            </w:r>
            <w:r>
              <w:rPr>
                <w:rFonts w:hint="eastAsia" w:ascii="宋体" w:hAnsi="宋体" w:eastAsia="宋体" w:cs="宋体"/>
                <w:sz w:val="18"/>
                <w:szCs w:val="32"/>
                <w:highlight w:val="none"/>
                <w:lang w:eastAsia="zh-CN"/>
              </w:rPr>
              <w:t>。</w:t>
            </w:r>
          </w:p>
          <w:p w14:paraId="6DD2037A">
            <w:pPr>
              <w:rPr>
                <w:rFonts w:hint="default" w:ascii="宋体" w:hAnsi="宋体" w:eastAsia="宋体" w:cs="宋体"/>
                <w:sz w:val="18"/>
                <w:szCs w:val="32"/>
                <w:highlight w:val="none"/>
                <w:lang w:val="en-US" w:eastAsia="zh-CN"/>
              </w:rPr>
            </w:pPr>
            <w:r>
              <w:rPr>
                <w:rFonts w:hint="eastAsia" w:ascii="宋体" w:hAnsi="宋体" w:eastAsia="宋体" w:cs="宋体"/>
                <w:sz w:val="18"/>
                <w:szCs w:val="32"/>
                <w:highlight w:val="none"/>
                <w:lang w:val="en-US" w:eastAsia="zh-CN"/>
              </w:rPr>
              <w:t>2、维保期限：1年</w:t>
            </w:r>
          </w:p>
          <w:p w14:paraId="1F2C812F">
            <w:pPr>
              <w:rPr>
                <w:rFonts w:hint="eastAsia" w:ascii="宋体" w:hAnsi="宋体" w:eastAsia="宋体" w:cs="宋体"/>
                <w:sz w:val="18"/>
                <w:szCs w:val="32"/>
                <w:highlight w:val="none"/>
              </w:rPr>
            </w:pPr>
            <w:r>
              <w:rPr>
                <w:rFonts w:hint="eastAsia" w:ascii="宋体" w:hAnsi="宋体" w:eastAsia="宋体" w:cs="宋体"/>
                <w:sz w:val="18"/>
                <w:szCs w:val="32"/>
                <w:highlight w:val="none"/>
                <w:lang w:val="en-US" w:eastAsia="zh-CN"/>
              </w:rPr>
              <w:t>3、</w:t>
            </w:r>
            <w:r>
              <w:rPr>
                <w:rFonts w:hint="eastAsia" w:ascii="宋体" w:hAnsi="宋体" w:eastAsia="宋体" w:cs="宋体"/>
                <w:sz w:val="18"/>
                <w:szCs w:val="32"/>
                <w:highlight w:val="none"/>
              </w:rPr>
              <w:t>包含全部业务模块：</w:t>
            </w:r>
            <w:r>
              <w:rPr>
                <w:rFonts w:hint="eastAsia" w:ascii="宋体" w:hAnsi="宋体" w:eastAsia="宋体" w:cs="宋体"/>
                <w:sz w:val="18"/>
                <w:szCs w:val="32"/>
                <w:highlight w:val="none"/>
                <w:lang w:val="en-US" w:eastAsia="zh-CN"/>
              </w:rPr>
              <w:t>临床</w:t>
            </w:r>
            <w:r>
              <w:rPr>
                <w:rFonts w:hint="eastAsia" w:ascii="宋体" w:hAnsi="宋体" w:eastAsia="宋体" w:cs="宋体"/>
                <w:sz w:val="18"/>
                <w:szCs w:val="32"/>
                <w:highlight w:val="none"/>
              </w:rPr>
              <w:t>用血申请、</w:t>
            </w:r>
            <w:r>
              <w:rPr>
                <w:rFonts w:hint="eastAsia" w:ascii="宋体" w:hAnsi="宋体" w:eastAsia="宋体" w:cs="宋体"/>
                <w:sz w:val="18"/>
                <w:szCs w:val="32"/>
                <w:highlight w:val="none"/>
                <w:lang w:val="en-US" w:eastAsia="zh-CN"/>
              </w:rPr>
              <w:t>送达登记、接收管理、</w:t>
            </w:r>
            <w:r>
              <w:rPr>
                <w:rFonts w:hint="eastAsia" w:ascii="宋体" w:hAnsi="宋体" w:eastAsia="宋体" w:cs="宋体"/>
                <w:sz w:val="18"/>
                <w:szCs w:val="32"/>
                <w:highlight w:val="none"/>
              </w:rPr>
              <w:t>血液入库、血型鉴定、交叉配血、发血管理、大量用血审批、输血不良反应登记、输血后疗效评价、血袋回收、库存管理、试剂管理、各类质控报表、用血统计、全程闭环追溯模块。</w:t>
            </w:r>
          </w:p>
          <w:p w14:paraId="6A606035">
            <w:pPr>
              <w:rPr>
                <w:rFonts w:hint="eastAsia" w:ascii="宋体" w:hAnsi="宋体" w:eastAsia="宋体" w:cs="宋体"/>
                <w:sz w:val="18"/>
                <w:szCs w:val="32"/>
                <w:highlight w:val="none"/>
              </w:rPr>
            </w:pPr>
            <w:r>
              <w:rPr>
                <w:rFonts w:hint="eastAsia" w:ascii="宋体" w:hAnsi="宋体" w:eastAsia="宋体" w:cs="宋体"/>
                <w:sz w:val="18"/>
                <w:szCs w:val="32"/>
                <w:highlight w:val="none"/>
                <w:lang w:val="en-US" w:eastAsia="zh-CN"/>
              </w:rPr>
              <w:t>4、</w:t>
            </w:r>
            <w:r>
              <w:rPr>
                <w:rFonts w:hint="eastAsia" w:ascii="宋体" w:hAnsi="宋体" w:eastAsia="宋体" w:cs="宋体"/>
                <w:sz w:val="18"/>
                <w:szCs w:val="32"/>
                <w:highlight w:val="none"/>
              </w:rPr>
              <w:t>配套接口：HIS、</w:t>
            </w:r>
            <w:r>
              <w:rPr>
                <w:rFonts w:hint="eastAsia" w:ascii="宋体" w:hAnsi="宋体" w:eastAsia="宋体" w:cs="宋体"/>
                <w:sz w:val="18"/>
                <w:szCs w:val="32"/>
                <w:highlight w:val="none"/>
                <w:lang w:eastAsia="zh-CN"/>
              </w:rPr>
              <w:t>LIS、</w:t>
            </w:r>
            <w:r>
              <w:rPr>
                <w:rFonts w:hint="eastAsia" w:ascii="宋体" w:hAnsi="宋体" w:eastAsia="宋体" w:cs="宋体"/>
                <w:sz w:val="18"/>
                <w:szCs w:val="32"/>
                <w:highlight w:val="none"/>
                <w:lang w:val="en-US" w:eastAsia="zh-CN"/>
              </w:rPr>
              <w:t>手麻系统、</w:t>
            </w:r>
            <w:r>
              <w:rPr>
                <w:rFonts w:hint="eastAsia" w:ascii="宋体" w:hAnsi="宋体" w:eastAsia="宋体" w:cs="宋体"/>
                <w:sz w:val="18"/>
                <w:szCs w:val="32"/>
                <w:highlight w:val="none"/>
              </w:rPr>
              <w:t>移动护理、</w:t>
            </w:r>
            <w:r>
              <w:rPr>
                <w:rFonts w:hint="eastAsia" w:ascii="宋体" w:hAnsi="宋体" w:eastAsia="宋体" w:cs="宋体"/>
                <w:sz w:val="18"/>
                <w:szCs w:val="32"/>
                <w:highlight w:val="none"/>
                <w:lang w:eastAsia="zh-CN"/>
              </w:rPr>
              <w:t>廊坊市</w:t>
            </w:r>
            <w:r>
              <w:rPr>
                <w:rFonts w:hint="eastAsia" w:ascii="宋体" w:hAnsi="宋体" w:eastAsia="宋体" w:cs="宋体"/>
                <w:sz w:val="18"/>
                <w:szCs w:val="32"/>
                <w:highlight w:val="none"/>
              </w:rPr>
              <w:t>中心血站、检验设备通讯接口。</w:t>
            </w:r>
          </w:p>
          <w:p w14:paraId="1E13AD31">
            <w:pPr>
              <w:rPr>
                <w:rFonts w:hint="eastAsia" w:ascii="宋体" w:hAnsi="宋体" w:eastAsia="宋体" w:cs="宋体"/>
                <w:sz w:val="18"/>
                <w:szCs w:val="32"/>
                <w:highlight w:val="none"/>
              </w:rPr>
            </w:pPr>
            <w:r>
              <w:rPr>
                <w:rFonts w:hint="eastAsia" w:ascii="宋体" w:hAnsi="宋体" w:eastAsia="宋体" w:cs="宋体"/>
                <w:sz w:val="18"/>
                <w:szCs w:val="32"/>
                <w:highlight w:val="none"/>
              </w:rPr>
              <w:t>二、维护内容</w:t>
            </w:r>
          </w:p>
          <w:p w14:paraId="6E1982DB">
            <w:pPr>
              <w:rPr>
                <w:rFonts w:hint="eastAsia" w:ascii="宋体" w:hAnsi="宋体" w:eastAsia="宋体" w:cs="宋体"/>
                <w:sz w:val="18"/>
                <w:szCs w:val="32"/>
                <w:highlight w:val="none"/>
                <w:lang w:eastAsia="zh-CN"/>
              </w:rPr>
            </w:pPr>
            <w:r>
              <w:rPr>
                <w:rFonts w:hint="eastAsia" w:ascii="宋体" w:hAnsi="宋体" w:eastAsia="宋体" w:cs="宋体"/>
                <w:sz w:val="18"/>
                <w:szCs w:val="32"/>
                <w:highlight w:val="none"/>
              </w:rPr>
              <w:t>1</w:t>
            </w:r>
            <w:r>
              <w:rPr>
                <w:rFonts w:hint="eastAsia" w:ascii="宋体" w:hAnsi="宋体" w:eastAsia="宋体" w:cs="宋体"/>
                <w:sz w:val="18"/>
                <w:szCs w:val="32"/>
                <w:highlight w:val="none"/>
                <w:lang w:eastAsia="zh-CN"/>
              </w:rPr>
              <w:t>、</w:t>
            </w:r>
            <w:r>
              <w:rPr>
                <w:rFonts w:hint="eastAsia" w:ascii="宋体" w:hAnsi="宋体" w:eastAsia="宋体" w:cs="宋体"/>
                <w:sz w:val="18"/>
                <w:szCs w:val="32"/>
                <w:highlight w:val="none"/>
              </w:rPr>
              <w:t>日常维护：因系统缺陷导致的各种BUG的修复、数据错误维护等</w:t>
            </w:r>
            <w:r>
              <w:rPr>
                <w:rFonts w:hint="eastAsia" w:ascii="宋体" w:hAnsi="宋体" w:eastAsia="宋体" w:cs="宋体"/>
                <w:sz w:val="18"/>
                <w:szCs w:val="32"/>
                <w:highlight w:val="none"/>
                <w:lang w:eastAsia="zh-CN"/>
              </w:rPr>
              <w:t>；</w:t>
            </w:r>
            <w:r>
              <w:rPr>
                <w:rFonts w:hint="eastAsia" w:ascii="宋体" w:hAnsi="宋体" w:eastAsia="宋体" w:cs="宋体"/>
                <w:sz w:val="18"/>
                <w:szCs w:val="32"/>
                <w:highlight w:val="none"/>
              </w:rPr>
              <w:t>突发系统故障响应、诊断、排除</w:t>
            </w:r>
            <w:r>
              <w:rPr>
                <w:rFonts w:hint="eastAsia" w:ascii="宋体" w:hAnsi="宋体" w:eastAsia="宋体" w:cs="宋体"/>
                <w:sz w:val="18"/>
                <w:szCs w:val="32"/>
                <w:highlight w:val="none"/>
                <w:lang w:eastAsia="zh-CN"/>
              </w:rPr>
              <w:t>。</w:t>
            </w:r>
          </w:p>
          <w:p w14:paraId="55C4544E">
            <w:pPr>
              <w:rPr>
                <w:rFonts w:hint="eastAsia" w:ascii="宋体" w:hAnsi="宋体" w:eastAsia="宋体" w:cs="宋体"/>
                <w:sz w:val="18"/>
                <w:szCs w:val="32"/>
                <w:highlight w:val="none"/>
                <w:lang w:eastAsia="zh-CN"/>
              </w:rPr>
            </w:pPr>
            <w:r>
              <w:rPr>
                <w:rFonts w:hint="eastAsia" w:ascii="宋体" w:hAnsi="宋体" w:eastAsia="宋体" w:cs="宋体"/>
                <w:sz w:val="18"/>
                <w:szCs w:val="32"/>
                <w:highlight w:val="none"/>
              </w:rPr>
              <w:t>2</w:t>
            </w:r>
            <w:r>
              <w:rPr>
                <w:rFonts w:hint="eastAsia" w:ascii="宋体" w:hAnsi="宋体" w:eastAsia="宋体" w:cs="宋体"/>
                <w:sz w:val="18"/>
                <w:szCs w:val="32"/>
                <w:highlight w:val="none"/>
                <w:lang w:eastAsia="zh-CN"/>
              </w:rPr>
              <w:t>、</w:t>
            </w:r>
            <w:r>
              <w:rPr>
                <w:rFonts w:hint="eastAsia" w:ascii="宋体" w:hAnsi="宋体" w:eastAsia="宋体" w:cs="宋体"/>
                <w:sz w:val="18"/>
                <w:szCs w:val="32"/>
                <w:highlight w:val="none"/>
              </w:rPr>
              <w:t>接口运维保障</w:t>
            </w:r>
            <w:r>
              <w:rPr>
                <w:rFonts w:hint="eastAsia" w:ascii="宋体" w:hAnsi="宋体" w:eastAsia="宋体" w:cs="宋体"/>
                <w:sz w:val="18"/>
                <w:szCs w:val="32"/>
                <w:highlight w:val="none"/>
                <w:lang w:eastAsia="zh-CN"/>
              </w:rPr>
              <w:t>：</w:t>
            </w:r>
            <w:r>
              <w:rPr>
                <w:rFonts w:hint="eastAsia" w:ascii="宋体" w:hAnsi="宋体" w:eastAsia="宋体" w:cs="宋体"/>
                <w:sz w:val="18"/>
                <w:szCs w:val="32"/>
                <w:highlight w:val="none"/>
              </w:rPr>
              <w:t>保障现有全部接口稳定连通；接口报文异常、数据传输中断及时排查；院内流程调整配合调试接口；</w:t>
            </w:r>
            <w:r>
              <w:rPr>
                <w:rFonts w:hint="eastAsia" w:ascii="宋体" w:hAnsi="宋体" w:eastAsia="宋体" w:cs="宋体"/>
                <w:sz w:val="18"/>
                <w:szCs w:val="32"/>
                <w:highlight w:val="none"/>
                <w:lang w:eastAsia="zh-CN"/>
              </w:rPr>
              <w:t>后续将</w:t>
            </w:r>
            <w:r>
              <w:rPr>
                <w:rFonts w:hint="eastAsia" w:ascii="宋体" w:hAnsi="宋体" w:eastAsia="宋体" w:cs="宋体"/>
                <w:sz w:val="18"/>
                <w:szCs w:val="32"/>
                <w:highlight w:val="none"/>
              </w:rPr>
              <w:t>新增定制接口</w:t>
            </w:r>
            <w:r>
              <w:rPr>
                <w:rFonts w:hint="eastAsia" w:ascii="宋体" w:hAnsi="宋体" w:eastAsia="宋体" w:cs="宋体"/>
                <w:sz w:val="18"/>
                <w:szCs w:val="32"/>
                <w:highlight w:val="none"/>
                <w:lang w:eastAsia="zh-CN"/>
              </w:rPr>
              <w:t>：实现与省级优先用血平台和全国无偿电子献血证管理服务平台数据实时同步、业务互联互通。</w:t>
            </w:r>
          </w:p>
          <w:p w14:paraId="5F568C35">
            <w:pPr>
              <w:rPr>
                <w:rFonts w:hint="eastAsia" w:ascii="宋体" w:hAnsi="宋体" w:eastAsia="宋体" w:cs="宋体"/>
                <w:sz w:val="18"/>
                <w:szCs w:val="32"/>
                <w:highlight w:val="none"/>
                <w:lang w:eastAsia="zh-CN"/>
              </w:rPr>
            </w:pPr>
            <w:r>
              <w:rPr>
                <w:rFonts w:hint="eastAsia" w:ascii="宋体" w:hAnsi="宋体" w:eastAsia="宋体" w:cs="宋体"/>
                <w:sz w:val="18"/>
                <w:szCs w:val="32"/>
                <w:highlight w:val="none"/>
              </w:rPr>
              <w:t>3</w:t>
            </w:r>
            <w:r>
              <w:rPr>
                <w:rFonts w:hint="eastAsia" w:ascii="宋体" w:hAnsi="宋体" w:eastAsia="宋体" w:cs="宋体"/>
                <w:sz w:val="18"/>
                <w:szCs w:val="32"/>
                <w:highlight w:val="none"/>
                <w:lang w:eastAsia="zh-CN"/>
              </w:rPr>
              <w:t>、</w:t>
            </w:r>
            <w:r>
              <w:rPr>
                <w:rFonts w:hint="eastAsia" w:ascii="宋体" w:hAnsi="宋体" w:eastAsia="宋体" w:cs="宋体"/>
                <w:sz w:val="18"/>
                <w:szCs w:val="32"/>
                <w:highlight w:val="none"/>
              </w:rPr>
              <w:t>功能优化服务：完善现有系统功能优化</w:t>
            </w:r>
            <w:r>
              <w:rPr>
                <w:rFonts w:hint="eastAsia" w:ascii="宋体" w:hAnsi="宋体" w:eastAsia="宋体" w:cs="宋体"/>
                <w:sz w:val="18"/>
                <w:szCs w:val="32"/>
                <w:highlight w:val="none"/>
                <w:lang w:eastAsia="zh-CN"/>
              </w:rPr>
              <w:t>。</w:t>
            </w:r>
          </w:p>
          <w:p w14:paraId="77EB8F7C">
            <w:pPr>
              <w:rPr>
                <w:rFonts w:hint="eastAsia" w:ascii="宋体" w:hAnsi="宋体" w:eastAsia="宋体" w:cs="宋体"/>
                <w:sz w:val="18"/>
                <w:szCs w:val="32"/>
                <w:highlight w:val="none"/>
                <w:lang w:eastAsia="zh-CN"/>
              </w:rPr>
            </w:pPr>
            <w:r>
              <w:rPr>
                <w:rFonts w:hint="eastAsia" w:ascii="宋体" w:hAnsi="宋体" w:eastAsia="宋体" w:cs="宋体"/>
                <w:sz w:val="18"/>
                <w:szCs w:val="32"/>
                <w:highlight w:val="none"/>
                <w:lang w:val="en-US" w:eastAsia="zh-CN"/>
              </w:rPr>
              <w:t>4、</w:t>
            </w:r>
            <w:r>
              <w:rPr>
                <w:rFonts w:hint="eastAsia" w:ascii="宋体" w:hAnsi="宋体" w:eastAsia="宋体" w:cs="宋体"/>
                <w:sz w:val="18"/>
                <w:szCs w:val="32"/>
                <w:highlight w:val="none"/>
              </w:rPr>
              <w:t>系统巡检服务：定期（含每月、国家法定节假日前、重保期间等）巡检系统服务状态，及时向医院汇报系统服务运行情况，每次巡检结束后向医院提交巡检报告</w:t>
            </w:r>
            <w:r>
              <w:rPr>
                <w:rFonts w:hint="eastAsia" w:ascii="宋体" w:hAnsi="宋体" w:eastAsia="宋体" w:cs="宋体"/>
                <w:sz w:val="18"/>
                <w:szCs w:val="32"/>
                <w:highlight w:val="none"/>
                <w:lang w:eastAsia="zh-CN"/>
              </w:rPr>
              <w:t>。</w:t>
            </w:r>
          </w:p>
          <w:p w14:paraId="504A3EB8">
            <w:pPr>
              <w:rPr>
                <w:rFonts w:hint="eastAsia" w:ascii="宋体" w:hAnsi="宋体" w:eastAsia="宋体" w:cs="宋体"/>
                <w:sz w:val="18"/>
                <w:szCs w:val="32"/>
                <w:highlight w:val="none"/>
                <w:lang w:val="en-US" w:eastAsia="zh-CN"/>
              </w:rPr>
            </w:pPr>
            <w:r>
              <w:rPr>
                <w:rFonts w:hint="eastAsia" w:ascii="宋体" w:hAnsi="宋体" w:eastAsia="宋体" w:cs="宋体"/>
                <w:sz w:val="18"/>
                <w:szCs w:val="32"/>
                <w:highlight w:val="none"/>
                <w:lang w:val="en-US" w:eastAsia="zh-CN"/>
              </w:rPr>
              <w:t>5、系统安全巡查及漏洞修复服务：配合医院完成输血信息系统安全巡查、漏洞扫描工作，对发现的系统漏洞及时完成修复加固，提交巡查及整改相关文档。</w:t>
            </w:r>
          </w:p>
          <w:p w14:paraId="6FC735D5">
            <w:pPr>
              <w:rPr>
                <w:rFonts w:hint="eastAsia" w:ascii="宋体" w:hAnsi="宋体" w:eastAsia="宋体" w:cs="宋体"/>
                <w:sz w:val="18"/>
                <w:szCs w:val="32"/>
                <w:highlight w:val="none"/>
                <w:lang w:eastAsia="zh-CN"/>
              </w:rPr>
            </w:pPr>
            <w:r>
              <w:rPr>
                <w:rFonts w:hint="eastAsia" w:ascii="宋体" w:hAnsi="宋体" w:eastAsia="宋体" w:cs="宋体"/>
                <w:sz w:val="18"/>
                <w:szCs w:val="32"/>
                <w:highlight w:val="none"/>
                <w:lang w:val="en-US" w:eastAsia="zh-CN"/>
              </w:rPr>
              <w:t>6</w:t>
            </w:r>
            <w:r>
              <w:rPr>
                <w:rFonts w:hint="eastAsia" w:ascii="宋体" w:hAnsi="宋体" w:eastAsia="宋体" w:cs="宋体"/>
                <w:sz w:val="18"/>
                <w:szCs w:val="32"/>
                <w:highlight w:val="none"/>
                <w:lang w:eastAsia="zh-CN"/>
              </w:rPr>
              <w:t>、</w:t>
            </w:r>
            <w:r>
              <w:rPr>
                <w:rFonts w:hint="eastAsia" w:ascii="宋体" w:hAnsi="宋体" w:eastAsia="宋体" w:cs="宋体"/>
                <w:sz w:val="18"/>
                <w:szCs w:val="32"/>
                <w:highlight w:val="none"/>
              </w:rPr>
              <w:t>系统迁移服务：根据需要，配合医院完成服务器的切换工作，包含数据库的迁移和系统的迁移等</w:t>
            </w:r>
            <w:r>
              <w:rPr>
                <w:rFonts w:hint="eastAsia" w:ascii="宋体" w:hAnsi="宋体" w:eastAsia="宋体" w:cs="宋体"/>
                <w:sz w:val="18"/>
                <w:szCs w:val="32"/>
                <w:highlight w:val="none"/>
                <w:lang w:eastAsia="zh-CN"/>
              </w:rPr>
              <w:t>。</w:t>
            </w:r>
          </w:p>
          <w:p w14:paraId="17ECA921">
            <w:pPr>
              <w:rPr>
                <w:rFonts w:hint="eastAsia" w:ascii="宋体" w:hAnsi="宋体" w:eastAsia="宋体" w:cs="宋体"/>
                <w:sz w:val="18"/>
                <w:szCs w:val="32"/>
                <w:highlight w:val="none"/>
              </w:rPr>
            </w:pPr>
            <w:r>
              <w:rPr>
                <w:rFonts w:hint="eastAsia" w:ascii="宋体" w:hAnsi="宋体" w:eastAsia="宋体" w:cs="宋体"/>
                <w:sz w:val="18"/>
                <w:szCs w:val="32"/>
                <w:highlight w:val="none"/>
                <w:lang w:val="en-US" w:eastAsia="zh-CN"/>
              </w:rPr>
              <w:t>7</w:t>
            </w:r>
            <w:r>
              <w:rPr>
                <w:rFonts w:hint="eastAsia" w:ascii="宋体" w:hAnsi="宋体" w:eastAsia="宋体" w:cs="宋体"/>
                <w:sz w:val="18"/>
                <w:szCs w:val="32"/>
                <w:highlight w:val="none"/>
                <w:lang w:eastAsia="zh-CN"/>
              </w:rPr>
              <w:t>、</w:t>
            </w:r>
            <w:r>
              <w:rPr>
                <w:rFonts w:hint="eastAsia" w:ascii="宋体" w:hAnsi="宋体" w:eastAsia="宋体" w:cs="宋体"/>
                <w:sz w:val="18"/>
                <w:szCs w:val="32"/>
                <w:highlight w:val="none"/>
              </w:rPr>
              <w:t>数据修复服务：如因系统原因造成系统数据丢失，需负责恢复数据。在原始数据没有灭失的情况下，负责查找系统中出错的数据，并进行修正。</w:t>
            </w:r>
          </w:p>
          <w:p w14:paraId="279251A0">
            <w:pPr>
              <w:rPr>
                <w:rFonts w:hint="eastAsia" w:ascii="宋体" w:hAnsi="宋体" w:eastAsia="宋体" w:cs="宋体"/>
                <w:sz w:val="18"/>
                <w:szCs w:val="32"/>
                <w:highlight w:val="none"/>
                <w:lang w:eastAsia="zh-CN"/>
              </w:rPr>
            </w:pPr>
            <w:r>
              <w:rPr>
                <w:rFonts w:hint="eastAsia" w:ascii="宋体" w:hAnsi="宋体" w:eastAsia="宋体" w:cs="宋体"/>
                <w:sz w:val="18"/>
                <w:szCs w:val="32"/>
                <w:highlight w:val="none"/>
                <w:lang w:val="en-US" w:eastAsia="zh-CN"/>
              </w:rPr>
              <w:t>8</w:t>
            </w:r>
            <w:r>
              <w:rPr>
                <w:rFonts w:hint="eastAsia" w:ascii="宋体" w:hAnsi="宋体" w:eastAsia="宋体" w:cs="宋体"/>
                <w:sz w:val="18"/>
                <w:szCs w:val="32"/>
                <w:highlight w:val="none"/>
                <w:lang w:eastAsia="zh-CN"/>
              </w:rPr>
              <w:t>、</w:t>
            </w:r>
            <w:r>
              <w:rPr>
                <w:rFonts w:hint="eastAsia" w:ascii="宋体" w:hAnsi="宋体" w:eastAsia="宋体" w:cs="宋体"/>
                <w:sz w:val="18"/>
                <w:szCs w:val="32"/>
                <w:highlight w:val="none"/>
              </w:rPr>
              <w:t>系统咨询服务：帮助解答医院提出的相关各种业务和技术问题，包括技术咨询、指导和信息提供等</w:t>
            </w:r>
            <w:r>
              <w:rPr>
                <w:rFonts w:hint="eastAsia" w:ascii="宋体" w:hAnsi="宋体" w:eastAsia="宋体" w:cs="宋体"/>
                <w:sz w:val="18"/>
                <w:szCs w:val="32"/>
                <w:highlight w:val="none"/>
                <w:lang w:eastAsia="zh-CN"/>
              </w:rPr>
              <w:t>。</w:t>
            </w:r>
          </w:p>
          <w:p w14:paraId="06509686">
            <w:pPr>
              <w:rPr>
                <w:rFonts w:hint="eastAsia" w:ascii="宋体" w:hAnsi="宋体" w:eastAsia="宋体" w:cs="宋体"/>
                <w:sz w:val="18"/>
                <w:szCs w:val="32"/>
                <w:highlight w:val="none"/>
                <w:lang w:eastAsia="zh-CN"/>
              </w:rPr>
            </w:pPr>
            <w:r>
              <w:rPr>
                <w:rFonts w:hint="eastAsia" w:ascii="宋体" w:hAnsi="宋体" w:eastAsia="宋体" w:cs="宋体"/>
                <w:sz w:val="18"/>
                <w:szCs w:val="32"/>
                <w:highlight w:val="none"/>
                <w:lang w:val="en-US" w:eastAsia="zh-CN"/>
              </w:rPr>
              <w:t>9</w:t>
            </w:r>
            <w:r>
              <w:rPr>
                <w:rFonts w:hint="eastAsia" w:ascii="宋体" w:hAnsi="宋体" w:eastAsia="宋体" w:cs="宋体"/>
                <w:sz w:val="18"/>
                <w:szCs w:val="32"/>
                <w:highlight w:val="none"/>
                <w:lang w:eastAsia="zh-CN"/>
              </w:rPr>
              <w:t>、</w:t>
            </w:r>
            <w:r>
              <w:rPr>
                <w:rFonts w:hint="eastAsia" w:ascii="宋体" w:hAnsi="宋体" w:eastAsia="宋体" w:cs="宋体"/>
                <w:sz w:val="18"/>
                <w:szCs w:val="32"/>
                <w:highlight w:val="none"/>
              </w:rPr>
              <w:t>培训服务：因系统升级、功能调整等，对相应的人员进行系统培训；对新入职人员进行系统使用培训，使其能够进行日常工作</w:t>
            </w:r>
            <w:r>
              <w:rPr>
                <w:rFonts w:hint="eastAsia" w:ascii="宋体" w:hAnsi="宋体" w:eastAsia="宋体" w:cs="宋体"/>
                <w:sz w:val="18"/>
                <w:szCs w:val="32"/>
                <w:highlight w:val="none"/>
                <w:lang w:eastAsia="zh-CN"/>
              </w:rPr>
              <w:t>。</w:t>
            </w:r>
          </w:p>
          <w:p w14:paraId="49D01E25">
            <w:pPr>
              <w:rPr>
                <w:rFonts w:hint="eastAsia" w:ascii="宋体" w:hAnsi="宋体" w:eastAsia="宋体" w:cs="宋体"/>
                <w:sz w:val="18"/>
                <w:szCs w:val="32"/>
                <w:highlight w:val="none"/>
                <w:lang w:eastAsia="zh-CN"/>
              </w:rPr>
            </w:pPr>
            <w:r>
              <w:rPr>
                <w:rFonts w:hint="eastAsia" w:ascii="宋体" w:hAnsi="宋体" w:eastAsia="宋体" w:cs="宋体"/>
                <w:sz w:val="18"/>
                <w:szCs w:val="32"/>
                <w:highlight w:val="none"/>
                <w:lang w:val="en-US" w:eastAsia="zh-CN"/>
              </w:rPr>
              <w:t>10</w:t>
            </w:r>
            <w:r>
              <w:rPr>
                <w:rFonts w:hint="eastAsia" w:ascii="宋体" w:hAnsi="宋体" w:eastAsia="宋体" w:cs="宋体"/>
                <w:sz w:val="18"/>
                <w:szCs w:val="32"/>
                <w:highlight w:val="none"/>
                <w:lang w:eastAsia="zh-CN"/>
              </w:rPr>
              <w:t>、</w:t>
            </w:r>
            <w:r>
              <w:rPr>
                <w:rFonts w:hint="eastAsia" w:ascii="宋体" w:hAnsi="宋体" w:eastAsia="宋体" w:cs="宋体"/>
                <w:sz w:val="18"/>
                <w:szCs w:val="32"/>
                <w:highlight w:val="none"/>
              </w:rPr>
              <w:t>其他服务：应急处理服务</w:t>
            </w:r>
            <w:r>
              <w:rPr>
                <w:rFonts w:hint="eastAsia" w:ascii="宋体" w:hAnsi="宋体" w:eastAsia="宋体" w:cs="宋体"/>
                <w:sz w:val="18"/>
                <w:szCs w:val="32"/>
                <w:highlight w:val="none"/>
                <w:lang w:eastAsia="zh-CN"/>
              </w:rPr>
              <w:t>、</w:t>
            </w:r>
            <w:r>
              <w:rPr>
                <w:rFonts w:hint="eastAsia" w:ascii="宋体" w:hAnsi="宋体" w:eastAsia="宋体" w:cs="宋体"/>
                <w:sz w:val="18"/>
                <w:szCs w:val="32"/>
                <w:highlight w:val="none"/>
                <w:lang w:val="en-US" w:eastAsia="zh-CN"/>
              </w:rPr>
              <w:t>上级政策性要求</w:t>
            </w:r>
            <w:r>
              <w:rPr>
                <w:rFonts w:hint="eastAsia" w:ascii="宋体" w:hAnsi="宋体" w:eastAsia="宋体" w:cs="宋体"/>
                <w:sz w:val="18"/>
                <w:szCs w:val="32"/>
                <w:highlight w:val="none"/>
              </w:rPr>
              <w:t>等</w:t>
            </w:r>
            <w:r>
              <w:rPr>
                <w:rFonts w:hint="eastAsia" w:ascii="宋体" w:hAnsi="宋体" w:eastAsia="宋体" w:cs="宋体"/>
                <w:sz w:val="18"/>
                <w:szCs w:val="32"/>
                <w:highlight w:val="none"/>
                <w:lang w:eastAsia="zh-CN"/>
              </w:rPr>
              <w:t>。</w:t>
            </w:r>
          </w:p>
          <w:p w14:paraId="19AFAA77">
            <w:pPr>
              <w:rPr>
                <w:rFonts w:hint="eastAsia" w:ascii="宋体" w:hAnsi="宋体" w:eastAsia="宋体" w:cs="宋体"/>
                <w:sz w:val="18"/>
                <w:szCs w:val="32"/>
                <w:highlight w:val="none"/>
              </w:rPr>
            </w:pPr>
            <w:r>
              <w:rPr>
                <w:rFonts w:hint="eastAsia" w:ascii="宋体" w:hAnsi="宋体" w:eastAsia="宋体" w:cs="宋体"/>
                <w:sz w:val="18"/>
                <w:szCs w:val="32"/>
                <w:highlight w:val="none"/>
              </w:rPr>
              <w:t>三、维护方式</w:t>
            </w:r>
          </w:p>
          <w:p w14:paraId="037CD333">
            <w:pPr>
              <w:rPr>
                <w:rFonts w:hint="eastAsia" w:ascii="宋体" w:hAnsi="宋体" w:eastAsia="宋体" w:cs="宋体"/>
                <w:sz w:val="18"/>
                <w:szCs w:val="32"/>
                <w:highlight w:val="none"/>
              </w:rPr>
            </w:pPr>
            <w:r>
              <w:rPr>
                <w:rFonts w:hint="eastAsia" w:ascii="宋体" w:hAnsi="宋体" w:eastAsia="宋体" w:cs="宋体"/>
                <w:sz w:val="18"/>
                <w:szCs w:val="32"/>
                <w:highlight w:val="none"/>
              </w:rPr>
              <w:t>1</w:t>
            </w:r>
            <w:r>
              <w:rPr>
                <w:rFonts w:hint="eastAsia" w:ascii="宋体" w:hAnsi="宋体" w:eastAsia="宋体" w:cs="宋体"/>
                <w:sz w:val="18"/>
                <w:szCs w:val="32"/>
                <w:highlight w:val="none"/>
                <w:lang w:eastAsia="zh-CN"/>
              </w:rPr>
              <w:t>、</w:t>
            </w:r>
            <w:r>
              <w:rPr>
                <w:rFonts w:hint="eastAsia" w:ascii="宋体" w:hAnsi="宋体" w:eastAsia="宋体" w:cs="宋体"/>
                <w:sz w:val="18"/>
                <w:szCs w:val="32"/>
                <w:highlight w:val="none"/>
              </w:rPr>
              <w:t>提供7*24小时技术支持(含节假日)，需指定维护工程师，如遇系统故障，电话实时响应，保证医院工作的正常运行。</w:t>
            </w:r>
          </w:p>
          <w:p w14:paraId="2CD0E9C3">
            <w:pPr>
              <w:rPr>
                <w:rFonts w:hint="eastAsia" w:ascii="宋体" w:hAnsi="宋体" w:eastAsia="宋体" w:cs="宋体"/>
                <w:sz w:val="18"/>
                <w:szCs w:val="32"/>
                <w:highlight w:val="none"/>
                <w:lang w:eastAsia="zh-CN"/>
              </w:rPr>
            </w:pPr>
            <w:r>
              <w:rPr>
                <w:rFonts w:hint="eastAsia" w:ascii="宋体" w:hAnsi="宋体" w:eastAsia="宋体" w:cs="宋体"/>
                <w:sz w:val="18"/>
                <w:szCs w:val="32"/>
                <w:highlight w:val="none"/>
                <w:lang w:val="en-US" w:eastAsia="zh-CN"/>
              </w:rPr>
              <w:t>2</w:t>
            </w:r>
            <w:r>
              <w:rPr>
                <w:rFonts w:hint="eastAsia" w:ascii="宋体" w:hAnsi="宋体" w:eastAsia="宋体" w:cs="宋体"/>
                <w:sz w:val="18"/>
                <w:szCs w:val="32"/>
                <w:highlight w:val="none"/>
                <w:lang w:eastAsia="zh-CN"/>
              </w:rPr>
              <w:t>、</w:t>
            </w:r>
            <w:r>
              <w:rPr>
                <w:rFonts w:hint="eastAsia" w:ascii="宋体" w:hAnsi="宋体" w:eastAsia="宋体" w:cs="宋体"/>
                <w:sz w:val="18"/>
                <w:szCs w:val="32"/>
                <w:highlight w:val="none"/>
              </w:rPr>
              <w:t>远程服务：当电话、邮件支持不足以解决问题或故障情况比较复杂时，需技术人员在医院技术人员的协助下，通过远程登录的方式登录进入医院指定的系统。技术人员在医院技术人员的协助下确定故障原因，找出解决的方法予以解决，完成该次服务</w:t>
            </w:r>
            <w:r>
              <w:rPr>
                <w:rFonts w:hint="eastAsia" w:ascii="宋体" w:hAnsi="宋体" w:eastAsia="宋体" w:cs="宋体"/>
                <w:sz w:val="18"/>
                <w:szCs w:val="32"/>
                <w:highlight w:val="none"/>
                <w:lang w:eastAsia="zh-CN"/>
              </w:rPr>
              <w:t>。</w:t>
            </w:r>
          </w:p>
          <w:p w14:paraId="279B2A00">
            <w:pPr>
              <w:rPr>
                <w:rFonts w:hint="eastAsia" w:ascii="宋体" w:hAnsi="宋体" w:eastAsia="宋体" w:cs="宋体"/>
                <w:sz w:val="18"/>
                <w:szCs w:val="32"/>
                <w:highlight w:val="none"/>
                <w:lang w:eastAsia="zh-CN"/>
              </w:rPr>
            </w:pPr>
            <w:r>
              <w:rPr>
                <w:rFonts w:hint="eastAsia" w:ascii="宋体" w:hAnsi="宋体" w:eastAsia="宋体" w:cs="宋体"/>
                <w:sz w:val="18"/>
                <w:szCs w:val="32"/>
                <w:highlight w:val="none"/>
                <w:lang w:val="en-US" w:eastAsia="zh-CN"/>
              </w:rPr>
              <w:t>3</w:t>
            </w:r>
            <w:r>
              <w:rPr>
                <w:rFonts w:hint="eastAsia" w:ascii="宋体" w:hAnsi="宋体" w:eastAsia="宋体" w:cs="宋体"/>
                <w:sz w:val="18"/>
                <w:szCs w:val="32"/>
                <w:highlight w:val="none"/>
                <w:lang w:eastAsia="zh-CN"/>
              </w:rPr>
              <w:t>、</w:t>
            </w:r>
            <w:r>
              <w:rPr>
                <w:rFonts w:hint="eastAsia" w:ascii="宋体" w:hAnsi="宋体" w:eastAsia="宋体" w:cs="宋体"/>
                <w:sz w:val="18"/>
                <w:szCs w:val="32"/>
                <w:highlight w:val="none"/>
              </w:rPr>
              <w:t>现场服务：</w:t>
            </w:r>
            <w:r>
              <w:rPr>
                <w:rFonts w:hint="eastAsia" w:ascii="宋体" w:hAnsi="宋体" w:eastAsia="宋体" w:cs="宋体"/>
                <w:sz w:val="18"/>
                <w:szCs w:val="32"/>
                <w:highlight w:val="none"/>
                <w:lang w:val="en-US" w:eastAsia="zh-CN"/>
              </w:rPr>
              <w:t>固定时间（至少每月1次）到医院进行现场运维工作，以签到为准。</w:t>
            </w:r>
            <w:r>
              <w:rPr>
                <w:rFonts w:hint="eastAsia" w:ascii="宋体" w:hAnsi="宋体" w:eastAsia="宋体" w:cs="宋体"/>
                <w:sz w:val="18"/>
                <w:szCs w:val="32"/>
                <w:highlight w:val="none"/>
              </w:rPr>
              <w:t>由于环境、设备、人为等原因，通过电话无法排除的故障时，应在医院发出故障信息通知后2小时内派遣工程师到达现场，协助恢复系统的运行，并在排除故障后1日内将故障原因、解决办法、处理结果上报给医院</w:t>
            </w:r>
            <w:r>
              <w:rPr>
                <w:rFonts w:hint="eastAsia" w:ascii="宋体" w:hAnsi="宋体" w:eastAsia="宋体" w:cs="宋体"/>
                <w:sz w:val="18"/>
                <w:szCs w:val="32"/>
                <w:highlight w:val="none"/>
                <w:lang w:eastAsia="zh-CN"/>
              </w:rPr>
              <w:t>。</w:t>
            </w:r>
          </w:p>
          <w:p w14:paraId="03D8944D">
            <w:pPr>
              <w:rPr>
                <w:rFonts w:hint="eastAsia" w:ascii="宋体" w:hAnsi="宋体" w:eastAsia="宋体" w:cs="宋体"/>
                <w:sz w:val="18"/>
                <w:szCs w:val="32"/>
                <w:highlight w:val="none"/>
                <w:lang w:val="en-US" w:eastAsia="zh-CN"/>
              </w:rPr>
            </w:pPr>
            <w:r>
              <w:rPr>
                <w:rFonts w:hint="eastAsia" w:ascii="宋体" w:hAnsi="宋体" w:eastAsia="宋体" w:cs="宋体"/>
                <w:sz w:val="18"/>
                <w:szCs w:val="32"/>
                <w:highlight w:val="none"/>
                <w:lang w:val="en-US" w:eastAsia="zh-CN"/>
              </w:rPr>
              <w:t>四、考核要求</w:t>
            </w:r>
          </w:p>
          <w:p w14:paraId="359F661F">
            <w:pPr>
              <w:rPr>
                <w:rFonts w:hint="eastAsia" w:ascii="宋体" w:hAnsi="宋体" w:eastAsia="宋体" w:cs="宋体"/>
                <w:sz w:val="18"/>
                <w:szCs w:val="32"/>
                <w:highlight w:val="none"/>
              </w:rPr>
            </w:pPr>
            <w:r>
              <w:rPr>
                <w:rFonts w:hint="eastAsia" w:ascii="宋体" w:hAnsi="宋体" w:eastAsia="宋体" w:cs="宋体"/>
                <w:sz w:val="18"/>
                <w:szCs w:val="32"/>
                <w:highlight w:val="none"/>
                <w:lang w:val="en-US" w:eastAsia="zh-CN"/>
              </w:rPr>
              <w:t>1</w:t>
            </w:r>
            <w:r>
              <w:rPr>
                <w:rFonts w:hint="eastAsia" w:ascii="宋体" w:hAnsi="宋体" w:eastAsia="宋体" w:cs="宋体"/>
                <w:sz w:val="18"/>
                <w:szCs w:val="32"/>
                <w:highlight w:val="none"/>
              </w:rPr>
              <w:t>、处理问题响应及时有效，</w:t>
            </w:r>
            <w:r>
              <w:rPr>
                <w:rFonts w:hint="eastAsia" w:ascii="宋体" w:hAnsi="宋体" w:eastAsia="宋体" w:cs="宋体"/>
                <w:sz w:val="18"/>
                <w:szCs w:val="32"/>
                <w:highlight w:val="none"/>
                <w:lang w:val="en-US" w:eastAsia="zh-CN"/>
              </w:rPr>
              <w:t>运维</w:t>
            </w:r>
            <w:r>
              <w:rPr>
                <w:rFonts w:hint="eastAsia" w:ascii="宋体" w:hAnsi="宋体" w:eastAsia="宋体" w:cs="宋体"/>
                <w:sz w:val="18"/>
                <w:szCs w:val="32"/>
                <w:highlight w:val="none"/>
              </w:rPr>
              <w:t>服务未按指定时间响应，</w:t>
            </w:r>
            <w:r>
              <w:rPr>
                <w:rFonts w:hint="eastAsia" w:ascii="宋体" w:hAnsi="宋体" w:eastAsia="宋体" w:cs="宋体"/>
                <w:sz w:val="18"/>
                <w:szCs w:val="32"/>
                <w:highlight w:val="none"/>
                <w:lang w:val="en-US" w:eastAsia="zh-CN"/>
              </w:rPr>
              <w:t>按合同约定处理</w:t>
            </w:r>
            <w:r>
              <w:rPr>
                <w:rFonts w:hint="eastAsia" w:ascii="宋体" w:hAnsi="宋体" w:eastAsia="宋体" w:cs="宋体"/>
                <w:sz w:val="18"/>
                <w:szCs w:val="32"/>
                <w:highlight w:val="none"/>
              </w:rPr>
              <w:t>；</w:t>
            </w:r>
          </w:p>
          <w:p w14:paraId="28801746">
            <w:pPr>
              <w:rPr>
                <w:rFonts w:hint="eastAsia" w:ascii="宋体" w:hAnsi="宋体" w:eastAsia="宋体" w:cs="宋体"/>
                <w:sz w:val="18"/>
                <w:szCs w:val="32"/>
                <w:highlight w:val="none"/>
              </w:rPr>
            </w:pPr>
            <w:r>
              <w:rPr>
                <w:rFonts w:hint="eastAsia" w:ascii="宋体" w:hAnsi="宋体" w:eastAsia="宋体" w:cs="宋体"/>
                <w:sz w:val="18"/>
                <w:szCs w:val="32"/>
                <w:highlight w:val="none"/>
                <w:lang w:val="en-US" w:eastAsia="zh-CN"/>
              </w:rPr>
              <w:t>2、</w:t>
            </w:r>
            <w:r>
              <w:rPr>
                <w:rFonts w:hint="eastAsia" w:ascii="宋体" w:hAnsi="宋体" w:eastAsia="宋体" w:cs="宋体"/>
                <w:sz w:val="18"/>
                <w:szCs w:val="32"/>
                <w:highlight w:val="none"/>
              </w:rPr>
              <w:t>用户评价调查满意度要求大于9</w:t>
            </w:r>
            <w:r>
              <w:rPr>
                <w:rFonts w:hint="eastAsia" w:ascii="宋体" w:hAnsi="宋体" w:eastAsia="宋体" w:cs="宋体"/>
                <w:sz w:val="18"/>
                <w:szCs w:val="32"/>
                <w:highlight w:val="none"/>
                <w:lang w:val="en-US" w:eastAsia="zh-CN"/>
              </w:rPr>
              <w:t>5%。若</w:t>
            </w:r>
            <w:r>
              <w:rPr>
                <w:rFonts w:hint="eastAsia" w:ascii="宋体" w:hAnsi="宋体" w:eastAsia="宋体" w:cs="宋体"/>
                <w:sz w:val="18"/>
                <w:szCs w:val="32"/>
                <w:highlight w:val="none"/>
              </w:rPr>
              <w:t>用户满意度低于指标要求，</w:t>
            </w:r>
            <w:r>
              <w:rPr>
                <w:rFonts w:hint="eastAsia" w:ascii="宋体" w:hAnsi="宋体" w:eastAsia="宋体" w:cs="宋体"/>
                <w:sz w:val="18"/>
                <w:szCs w:val="32"/>
                <w:highlight w:val="none"/>
                <w:lang w:val="en-US" w:eastAsia="zh-CN"/>
              </w:rPr>
              <w:t>按合同约定处理</w:t>
            </w:r>
            <w:r>
              <w:rPr>
                <w:rFonts w:hint="eastAsia" w:ascii="宋体" w:hAnsi="宋体" w:eastAsia="宋体" w:cs="宋体"/>
                <w:sz w:val="18"/>
                <w:szCs w:val="32"/>
                <w:highlight w:val="none"/>
              </w:rPr>
              <w:t>；</w:t>
            </w:r>
          </w:p>
          <w:p w14:paraId="49589DB4">
            <w:pPr>
              <w:rPr>
                <w:rFonts w:hint="default" w:ascii="宋体" w:hAnsi="宋体" w:eastAsia="宋体" w:cs="宋体"/>
                <w:sz w:val="18"/>
                <w:szCs w:val="32"/>
                <w:highlight w:val="none"/>
                <w:lang w:val="en-US" w:eastAsia="zh-CN"/>
              </w:rPr>
            </w:pPr>
            <w:r>
              <w:rPr>
                <w:rFonts w:hint="eastAsia" w:ascii="宋体" w:hAnsi="宋体" w:eastAsia="宋体" w:cs="宋体"/>
                <w:sz w:val="18"/>
                <w:szCs w:val="32"/>
                <w:highlight w:val="none"/>
                <w:lang w:val="en-US" w:eastAsia="zh-CN"/>
              </w:rPr>
              <w:t>3、因运维服务导致的</w:t>
            </w:r>
            <w:r>
              <w:rPr>
                <w:rFonts w:hint="eastAsia" w:ascii="宋体" w:hAnsi="宋体" w:eastAsia="宋体" w:cs="宋体"/>
                <w:sz w:val="18"/>
                <w:szCs w:val="32"/>
                <w:highlight w:val="none"/>
              </w:rPr>
              <w:t>用户投诉</w:t>
            </w:r>
            <w:r>
              <w:rPr>
                <w:rFonts w:hint="eastAsia" w:ascii="宋体" w:hAnsi="宋体" w:eastAsia="宋体" w:cs="宋体"/>
                <w:sz w:val="18"/>
                <w:szCs w:val="32"/>
                <w:highlight w:val="none"/>
                <w:lang w:val="en-US" w:eastAsia="zh-CN"/>
              </w:rPr>
              <w:t>或不良事件</w:t>
            </w:r>
            <w:r>
              <w:rPr>
                <w:rFonts w:hint="eastAsia" w:ascii="宋体" w:hAnsi="宋体" w:eastAsia="宋体" w:cs="宋体"/>
                <w:sz w:val="18"/>
                <w:szCs w:val="32"/>
                <w:highlight w:val="none"/>
              </w:rPr>
              <w:t>，一经查实，</w:t>
            </w:r>
            <w:r>
              <w:rPr>
                <w:rFonts w:hint="eastAsia" w:ascii="宋体" w:hAnsi="宋体" w:eastAsia="宋体" w:cs="宋体"/>
                <w:sz w:val="18"/>
                <w:szCs w:val="32"/>
                <w:highlight w:val="none"/>
                <w:lang w:val="en-US" w:eastAsia="zh-CN"/>
              </w:rPr>
              <w:t>按合同约定处理</w:t>
            </w:r>
            <w:r>
              <w:rPr>
                <w:rFonts w:hint="eastAsia" w:ascii="宋体" w:hAnsi="宋体" w:eastAsia="宋体" w:cs="宋体"/>
                <w:sz w:val="18"/>
                <w:szCs w:val="32"/>
                <w:highlight w:val="none"/>
              </w:rPr>
              <w:t>；</w:t>
            </w:r>
          </w:p>
        </w:tc>
        <w:tc>
          <w:tcPr>
            <w:tcW w:w="4933" w:type="dxa"/>
            <w:vMerge w:val="restart"/>
            <w:tcBorders>
              <w:top w:val="nil"/>
              <w:left w:val="nil"/>
              <w:bottom w:val="single" w:color="000000" w:sz="4" w:space="0"/>
              <w:right w:val="single" w:color="000000" w:sz="4" w:space="0"/>
            </w:tcBorders>
            <w:vAlign w:val="center"/>
          </w:tcPr>
          <w:p w14:paraId="2C5580EF">
            <w:pPr>
              <w:rPr>
                <w:rFonts w:hint="eastAsia" w:ascii="宋体" w:hAnsi="宋体" w:eastAsia="宋体" w:cs="宋体"/>
                <w:sz w:val="18"/>
                <w:szCs w:val="32"/>
                <w:highlight w:val="none"/>
              </w:rPr>
            </w:pPr>
            <w:r>
              <w:rPr>
                <w:rFonts w:hint="eastAsia" w:ascii="宋体" w:hAnsi="宋体" w:eastAsia="宋体" w:cs="宋体"/>
                <w:sz w:val="18"/>
                <w:szCs w:val="32"/>
                <w:highlight w:val="none"/>
              </w:rPr>
              <w:t>一、公司资质要求</w:t>
            </w:r>
            <w:bookmarkStart w:id="0" w:name="_GoBack"/>
            <w:bookmarkEnd w:id="0"/>
          </w:p>
          <w:p w14:paraId="7896B22D">
            <w:pPr>
              <w:rPr>
                <w:rFonts w:hint="eastAsia" w:ascii="宋体" w:hAnsi="宋体" w:eastAsia="宋体" w:cs="宋体"/>
                <w:sz w:val="18"/>
                <w:szCs w:val="32"/>
                <w:highlight w:val="none"/>
              </w:rPr>
            </w:pPr>
            <w:r>
              <w:rPr>
                <w:rFonts w:hint="eastAsia" w:ascii="宋体" w:hAnsi="宋体" w:eastAsia="宋体" w:cs="宋体"/>
                <w:sz w:val="18"/>
                <w:szCs w:val="32"/>
                <w:highlight w:val="none"/>
                <w:lang w:val="en-US" w:eastAsia="zh-CN"/>
              </w:rPr>
              <w:t>1、</w:t>
            </w:r>
            <w:r>
              <w:rPr>
                <w:rFonts w:hint="eastAsia" w:ascii="宋体" w:hAnsi="宋体" w:eastAsia="宋体" w:cs="宋体"/>
                <w:sz w:val="18"/>
                <w:szCs w:val="32"/>
                <w:highlight w:val="none"/>
              </w:rPr>
              <w:t>投标人须具备三年及以上</w:t>
            </w:r>
            <w:r>
              <w:rPr>
                <w:rFonts w:hint="eastAsia" w:ascii="宋体" w:hAnsi="宋体" w:eastAsia="宋体" w:cs="宋体"/>
                <w:sz w:val="18"/>
                <w:szCs w:val="32"/>
                <w:highlight w:val="none"/>
                <w:lang w:val="en-US" w:eastAsia="zh-CN"/>
              </w:rPr>
              <w:t>三甲医院</w:t>
            </w:r>
            <w:r>
              <w:rPr>
                <w:rFonts w:hint="eastAsia" w:ascii="宋体" w:hAnsi="宋体" w:eastAsia="宋体" w:cs="宋体"/>
                <w:sz w:val="18"/>
                <w:szCs w:val="32"/>
                <w:highlight w:val="none"/>
              </w:rPr>
              <w:t>输血信息系统运维服务实施经验。</w:t>
            </w:r>
          </w:p>
          <w:p w14:paraId="779BA8CD">
            <w:pPr>
              <w:rPr>
                <w:rFonts w:hint="eastAsia" w:ascii="宋体" w:hAnsi="宋体" w:eastAsia="宋体" w:cs="宋体"/>
                <w:sz w:val="18"/>
                <w:szCs w:val="32"/>
                <w:highlight w:val="none"/>
              </w:rPr>
            </w:pPr>
            <w:r>
              <w:rPr>
                <w:rFonts w:hint="eastAsia" w:ascii="宋体" w:hAnsi="宋体" w:eastAsia="宋体" w:cs="宋体"/>
                <w:sz w:val="18"/>
                <w:szCs w:val="32"/>
                <w:highlight w:val="none"/>
              </w:rPr>
              <w:t>二、运维人员配置要求</w:t>
            </w:r>
          </w:p>
          <w:p w14:paraId="198AD85B">
            <w:pPr>
              <w:rPr>
                <w:rFonts w:hint="eastAsia" w:ascii="宋体" w:hAnsi="宋体" w:eastAsia="宋体" w:cs="宋体"/>
                <w:sz w:val="18"/>
                <w:szCs w:val="32"/>
                <w:highlight w:val="none"/>
              </w:rPr>
            </w:pPr>
            <w:r>
              <w:rPr>
                <w:rFonts w:hint="eastAsia" w:ascii="宋体" w:hAnsi="宋体" w:eastAsia="宋体" w:cs="宋体"/>
                <w:sz w:val="18"/>
                <w:szCs w:val="32"/>
                <w:highlight w:val="none"/>
                <w:lang w:val="en-US" w:eastAsia="zh-CN"/>
              </w:rPr>
              <w:t>1、</w:t>
            </w:r>
            <w:r>
              <w:rPr>
                <w:rFonts w:hint="eastAsia" w:ascii="宋体" w:hAnsi="宋体" w:eastAsia="宋体" w:cs="宋体"/>
                <w:sz w:val="18"/>
                <w:szCs w:val="32"/>
                <w:highlight w:val="none"/>
              </w:rPr>
              <w:t>须配置具有一年及以上输血信息系统运维工作经历的固定运维人员。未经医院书面许可，不得擅自更换运维人员。确需更换人员的，应提前 30 日提交人员更换申请，经医院审核同意后方可开展人员更替，并完成完整的岗位工作交接，保障业务连续稳定运行。</w:t>
            </w:r>
          </w:p>
          <w:p w14:paraId="43103568">
            <w:pPr>
              <w:rPr>
                <w:rFonts w:hint="eastAsia" w:ascii="宋体" w:hAnsi="宋体" w:eastAsia="宋体" w:cs="宋体"/>
                <w:sz w:val="18"/>
                <w:szCs w:val="32"/>
                <w:highlight w:val="none"/>
              </w:rPr>
            </w:pPr>
            <w:r>
              <w:rPr>
                <w:rFonts w:hint="eastAsia" w:ascii="宋体" w:hAnsi="宋体" w:eastAsia="宋体" w:cs="宋体"/>
                <w:sz w:val="18"/>
                <w:szCs w:val="32"/>
                <w:highlight w:val="none"/>
                <w:lang w:val="en-US" w:eastAsia="zh-CN"/>
              </w:rPr>
              <w:t>2、</w:t>
            </w:r>
            <w:r>
              <w:rPr>
                <w:rFonts w:hint="eastAsia" w:ascii="宋体" w:hAnsi="宋体" w:eastAsia="宋体" w:cs="宋体"/>
                <w:sz w:val="18"/>
                <w:szCs w:val="32"/>
                <w:highlight w:val="none"/>
              </w:rPr>
              <w:t>若医院认定运维人员履职不到位、无法胜任岗位工作，医院有权提出人员更换要求，投标人须在一周内提供合适候选人员供院方遴选，并完成合格人员上岗。</w:t>
            </w:r>
          </w:p>
          <w:p w14:paraId="20E5C86E">
            <w:pPr>
              <w:rPr>
                <w:rFonts w:hint="eastAsia" w:ascii="宋体" w:hAnsi="宋体" w:eastAsia="宋体" w:cs="宋体"/>
                <w:sz w:val="18"/>
                <w:szCs w:val="32"/>
                <w:highlight w:val="none"/>
              </w:rPr>
            </w:pPr>
            <w:r>
              <w:rPr>
                <w:rFonts w:hint="eastAsia" w:ascii="宋体" w:hAnsi="宋体" w:eastAsia="宋体" w:cs="宋体"/>
                <w:sz w:val="18"/>
                <w:szCs w:val="32"/>
                <w:highlight w:val="none"/>
                <w:lang w:val="en-US" w:eastAsia="zh-CN"/>
              </w:rPr>
              <w:t>3、</w:t>
            </w:r>
            <w:r>
              <w:rPr>
                <w:rFonts w:hint="eastAsia" w:ascii="宋体" w:hAnsi="宋体" w:eastAsia="宋体" w:cs="宋体"/>
                <w:sz w:val="18"/>
                <w:szCs w:val="32"/>
                <w:highlight w:val="none"/>
              </w:rPr>
              <w:t>所配置运维人员，须提供投标单位为其缴纳的1 年及以上社保缴纳证明材料。</w:t>
            </w:r>
          </w:p>
          <w:p w14:paraId="760657CB">
            <w:pPr>
              <w:rPr>
                <w:rFonts w:hint="eastAsia" w:ascii="宋体" w:hAnsi="宋体" w:eastAsia="宋体"/>
                <w:highlight w:val="none"/>
                <w:lang w:val="en-US" w:eastAsia="zh-CN"/>
              </w:rPr>
            </w:pPr>
          </w:p>
        </w:tc>
      </w:tr>
      <w:tr w14:paraId="32051178">
        <w:tblPrEx>
          <w:tblCellMar>
            <w:top w:w="0" w:type="dxa"/>
            <w:left w:w="108" w:type="dxa"/>
            <w:bottom w:w="0" w:type="dxa"/>
            <w:right w:w="108" w:type="dxa"/>
          </w:tblCellMar>
        </w:tblPrEx>
        <w:trPr>
          <w:trHeight w:val="624" w:hRule="atLeast"/>
          <w:jc w:val="center"/>
        </w:trPr>
        <w:tc>
          <w:tcPr>
            <w:tcW w:w="578" w:type="dxa"/>
            <w:vMerge w:val="continue"/>
            <w:tcBorders>
              <w:top w:val="nil"/>
              <w:left w:val="single" w:color="000000" w:sz="4" w:space="0"/>
              <w:bottom w:val="single" w:color="000000" w:sz="4" w:space="0"/>
              <w:right w:val="single" w:color="000000" w:sz="4" w:space="0"/>
            </w:tcBorders>
            <w:vAlign w:val="center"/>
          </w:tcPr>
          <w:p w14:paraId="2751DCB5">
            <w:pPr>
              <w:widowControl/>
              <w:jc w:val="left"/>
              <w:rPr>
                <w:rFonts w:ascii="宋体" w:hAnsi="宋体" w:eastAsia="宋体" w:cs="宋体"/>
                <w:b/>
                <w:bCs/>
                <w:color w:val="000000"/>
                <w:sz w:val="32"/>
                <w:szCs w:val="32"/>
                <w:highlight w:val="none"/>
              </w:rPr>
            </w:pPr>
          </w:p>
        </w:tc>
        <w:tc>
          <w:tcPr>
            <w:tcW w:w="4812" w:type="dxa"/>
            <w:vMerge w:val="continue"/>
            <w:tcBorders>
              <w:top w:val="nil"/>
              <w:left w:val="nil"/>
              <w:bottom w:val="single" w:color="000000" w:sz="4" w:space="0"/>
              <w:right w:val="single" w:color="000000" w:sz="4" w:space="0"/>
            </w:tcBorders>
            <w:vAlign w:val="center"/>
          </w:tcPr>
          <w:p w14:paraId="0A8CC5E7">
            <w:pPr>
              <w:widowControl/>
              <w:jc w:val="left"/>
              <w:rPr>
                <w:rFonts w:ascii="宋体" w:hAnsi="宋体" w:eastAsia="宋体" w:cs="宋体"/>
                <w:color w:val="000000"/>
                <w:sz w:val="24"/>
                <w:szCs w:val="24"/>
                <w:highlight w:val="none"/>
              </w:rPr>
            </w:pPr>
          </w:p>
        </w:tc>
        <w:tc>
          <w:tcPr>
            <w:tcW w:w="4933" w:type="dxa"/>
            <w:vMerge w:val="continue"/>
            <w:tcBorders>
              <w:top w:val="nil"/>
              <w:left w:val="nil"/>
              <w:bottom w:val="single" w:color="000000" w:sz="4" w:space="0"/>
              <w:right w:val="single" w:color="000000" w:sz="4" w:space="0"/>
            </w:tcBorders>
            <w:vAlign w:val="center"/>
          </w:tcPr>
          <w:p w14:paraId="5590E098">
            <w:pPr>
              <w:widowControl/>
              <w:jc w:val="left"/>
              <w:rPr>
                <w:rFonts w:ascii="宋体" w:hAnsi="宋体" w:eastAsia="宋体" w:cs="宋体"/>
                <w:color w:val="000000"/>
                <w:sz w:val="24"/>
                <w:szCs w:val="24"/>
                <w:highlight w:val="none"/>
              </w:rPr>
            </w:pPr>
          </w:p>
        </w:tc>
      </w:tr>
      <w:tr w14:paraId="36CF72C1">
        <w:tblPrEx>
          <w:tblCellMar>
            <w:top w:w="0" w:type="dxa"/>
            <w:left w:w="108" w:type="dxa"/>
            <w:bottom w:w="0" w:type="dxa"/>
            <w:right w:w="108" w:type="dxa"/>
          </w:tblCellMar>
        </w:tblPrEx>
        <w:trPr>
          <w:trHeight w:val="624" w:hRule="atLeast"/>
          <w:jc w:val="center"/>
        </w:trPr>
        <w:tc>
          <w:tcPr>
            <w:tcW w:w="578" w:type="dxa"/>
            <w:vMerge w:val="continue"/>
            <w:tcBorders>
              <w:top w:val="nil"/>
              <w:left w:val="single" w:color="000000" w:sz="4" w:space="0"/>
              <w:bottom w:val="single" w:color="000000" w:sz="4" w:space="0"/>
              <w:right w:val="single" w:color="000000" w:sz="4" w:space="0"/>
            </w:tcBorders>
            <w:vAlign w:val="center"/>
          </w:tcPr>
          <w:p w14:paraId="077BF1CD">
            <w:pPr>
              <w:widowControl/>
              <w:jc w:val="left"/>
              <w:rPr>
                <w:rFonts w:ascii="宋体" w:hAnsi="宋体" w:eastAsia="宋体" w:cs="宋体"/>
                <w:b/>
                <w:bCs/>
                <w:color w:val="000000"/>
                <w:sz w:val="32"/>
                <w:szCs w:val="32"/>
                <w:highlight w:val="none"/>
              </w:rPr>
            </w:pPr>
          </w:p>
        </w:tc>
        <w:tc>
          <w:tcPr>
            <w:tcW w:w="4812" w:type="dxa"/>
            <w:vMerge w:val="continue"/>
            <w:tcBorders>
              <w:top w:val="nil"/>
              <w:left w:val="nil"/>
              <w:bottom w:val="single" w:color="000000" w:sz="4" w:space="0"/>
              <w:right w:val="single" w:color="000000" w:sz="4" w:space="0"/>
            </w:tcBorders>
            <w:vAlign w:val="center"/>
          </w:tcPr>
          <w:p w14:paraId="38F80AB5">
            <w:pPr>
              <w:widowControl/>
              <w:jc w:val="left"/>
              <w:rPr>
                <w:rFonts w:ascii="宋体" w:hAnsi="宋体" w:eastAsia="宋体" w:cs="宋体"/>
                <w:color w:val="000000"/>
                <w:sz w:val="24"/>
                <w:szCs w:val="24"/>
                <w:highlight w:val="none"/>
              </w:rPr>
            </w:pPr>
          </w:p>
        </w:tc>
        <w:tc>
          <w:tcPr>
            <w:tcW w:w="4933" w:type="dxa"/>
            <w:vMerge w:val="continue"/>
            <w:tcBorders>
              <w:top w:val="nil"/>
              <w:left w:val="nil"/>
              <w:bottom w:val="single" w:color="000000" w:sz="4" w:space="0"/>
              <w:right w:val="single" w:color="000000" w:sz="4" w:space="0"/>
            </w:tcBorders>
            <w:vAlign w:val="center"/>
          </w:tcPr>
          <w:p w14:paraId="1EBF954D">
            <w:pPr>
              <w:widowControl/>
              <w:jc w:val="left"/>
              <w:rPr>
                <w:rFonts w:ascii="宋体" w:hAnsi="宋体" w:eastAsia="宋体" w:cs="宋体"/>
                <w:color w:val="000000"/>
                <w:sz w:val="24"/>
                <w:szCs w:val="24"/>
                <w:highlight w:val="none"/>
              </w:rPr>
            </w:pPr>
          </w:p>
        </w:tc>
      </w:tr>
      <w:tr w14:paraId="22C4AC96">
        <w:tblPrEx>
          <w:tblCellMar>
            <w:top w:w="0" w:type="dxa"/>
            <w:left w:w="108" w:type="dxa"/>
            <w:bottom w:w="0" w:type="dxa"/>
            <w:right w:w="108" w:type="dxa"/>
          </w:tblCellMar>
        </w:tblPrEx>
        <w:trPr>
          <w:trHeight w:val="624" w:hRule="atLeast"/>
          <w:jc w:val="center"/>
        </w:trPr>
        <w:tc>
          <w:tcPr>
            <w:tcW w:w="578" w:type="dxa"/>
            <w:vMerge w:val="continue"/>
            <w:tcBorders>
              <w:top w:val="nil"/>
              <w:left w:val="single" w:color="000000" w:sz="4" w:space="0"/>
              <w:bottom w:val="single" w:color="000000" w:sz="4" w:space="0"/>
              <w:right w:val="single" w:color="000000" w:sz="4" w:space="0"/>
            </w:tcBorders>
            <w:vAlign w:val="center"/>
          </w:tcPr>
          <w:p w14:paraId="4F723067">
            <w:pPr>
              <w:widowControl/>
              <w:jc w:val="left"/>
              <w:rPr>
                <w:rFonts w:ascii="宋体" w:hAnsi="宋体" w:eastAsia="宋体" w:cs="宋体"/>
                <w:b/>
                <w:bCs/>
                <w:color w:val="000000"/>
                <w:sz w:val="32"/>
                <w:szCs w:val="32"/>
                <w:highlight w:val="none"/>
              </w:rPr>
            </w:pPr>
          </w:p>
        </w:tc>
        <w:tc>
          <w:tcPr>
            <w:tcW w:w="4812" w:type="dxa"/>
            <w:vMerge w:val="continue"/>
            <w:tcBorders>
              <w:top w:val="nil"/>
              <w:left w:val="nil"/>
              <w:bottom w:val="single" w:color="000000" w:sz="4" w:space="0"/>
              <w:right w:val="single" w:color="000000" w:sz="4" w:space="0"/>
            </w:tcBorders>
            <w:vAlign w:val="center"/>
          </w:tcPr>
          <w:p w14:paraId="6AB7B489">
            <w:pPr>
              <w:widowControl/>
              <w:jc w:val="left"/>
              <w:rPr>
                <w:rFonts w:ascii="宋体" w:hAnsi="宋体" w:eastAsia="宋体" w:cs="宋体"/>
                <w:color w:val="000000"/>
                <w:sz w:val="24"/>
                <w:szCs w:val="24"/>
                <w:highlight w:val="none"/>
              </w:rPr>
            </w:pPr>
          </w:p>
        </w:tc>
        <w:tc>
          <w:tcPr>
            <w:tcW w:w="4933" w:type="dxa"/>
            <w:vMerge w:val="continue"/>
            <w:tcBorders>
              <w:top w:val="nil"/>
              <w:left w:val="nil"/>
              <w:bottom w:val="single" w:color="000000" w:sz="4" w:space="0"/>
              <w:right w:val="single" w:color="000000" w:sz="4" w:space="0"/>
            </w:tcBorders>
            <w:vAlign w:val="center"/>
          </w:tcPr>
          <w:p w14:paraId="2495D2CC">
            <w:pPr>
              <w:widowControl/>
              <w:jc w:val="left"/>
              <w:rPr>
                <w:rFonts w:ascii="宋体" w:hAnsi="宋体" w:eastAsia="宋体" w:cs="宋体"/>
                <w:color w:val="000000"/>
                <w:sz w:val="24"/>
                <w:szCs w:val="24"/>
                <w:highlight w:val="none"/>
              </w:rPr>
            </w:pPr>
          </w:p>
        </w:tc>
      </w:tr>
      <w:tr w14:paraId="6B7875F5">
        <w:tblPrEx>
          <w:tblCellMar>
            <w:top w:w="0" w:type="dxa"/>
            <w:left w:w="108" w:type="dxa"/>
            <w:bottom w:w="0" w:type="dxa"/>
            <w:right w:w="108" w:type="dxa"/>
          </w:tblCellMar>
        </w:tblPrEx>
        <w:trPr>
          <w:trHeight w:val="624" w:hRule="atLeast"/>
          <w:jc w:val="center"/>
        </w:trPr>
        <w:tc>
          <w:tcPr>
            <w:tcW w:w="578" w:type="dxa"/>
            <w:vMerge w:val="continue"/>
            <w:tcBorders>
              <w:top w:val="nil"/>
              <w:left w:val="single" w:color="000000" w:sz="4" w:space="0"/>
              <w:bottom w:val="single" w:color="000000" w:sz="4" w:space="0"/>
              <w:right w:val="single" w:color="000000" w:sz="4" w:space="0"/>
            </w:tcBorders>
            <w:vAlign w:val="center"/>
          </w:tcPr>
          <w:p w14:paraId="6E1DAD1D">
            <w:pPr>
              <w:widowControl/>
              <w:jc w:val="left"/>
              <w:rPr>
                <w:rFonts w:ascii="宋体" w:hAnsi="宋体" w:eastAsia="宋体" w:cs="宋体"/>
                <w:b/>
                <w:bCs/>
                <w:color w:val="000000"/>
                <w:sz w:val="32"/>
                <w:szCs w:val="32"/>
                <w:highlight w:val="none"/>
              </w:rPr>
            </w:pPr>
          </w:p>
        </w:tc>
        <w:tc>
          <w:tcPr>
            <w:tcW w:w="4812" w:type="dxa"/>
            <w:vMerge w:val="continue"/>
            <w:tcBorders>
              <w:top w:val="nil"/>
              <w:left w:val="nil"/>
              <w:bottom w:val="single" w:color="000000" w:sz="4" w:space="0"/>
              <w:right w:val="single" w:color="000000" w:sz="4" w:space="0"/>
            </w:tcBorders>
            <w:vAlign w:val="center"/>
          </w:tcPr>
          <w:p w14:paraId="03871B57">
            <w:pPr>
              <w:widowControl/>
              <w:jc w:val="left"/>
              <w:rPr>
                <w:rFonts w:ascii="宋体" w:hAnsi="宋体" w:eastAsia="宋体" w:cs="宋体"/>
                <w:color w:val="000000"/>
                <w:sz w:val="24"/>
                <w:szCs w:val="24"/>
                <w:highlight w:val="none"/>
              </w:rPr>
            </w:pPr>
          </w:p>
        </w:tc>
        <w:tc>
          <w:tcPr>
            <w:tcW w:w="4933" w:type="dxa"/>
            <w:vMerge w:val="continue"/>
            <w:tcBorders>
              <w:top w:val="nil"/>
              <w:left w:val="nil"/>
              <w:bottom w:val="single" w:color="000000" w:sz="4" w:space="0"/>
              <w:right w:val="single" w:color="000000" w:sz="4" w:space="0"/>
            </w:tcBorders>
            <w:vAlign w:val="center"/>
          </w:tcPr>
          <w:p w14:paraId="713077FF">
            <w:pPr>
              <w:widowControl/>
              <w:jc w:val="left"/>
              <w:rPr>
                <w:rFonts w:ascii="宋体" w:hAnsi="宋体" w:eastAsia="宋体" w:cs="宋体"/>
                <w:color w:val="000000"/>
                <w:sz w:val="24"/>
                <w:szCs w:val="24"/>
                <w:highlight w:val="none"/>
              </w:rPr>
            </w:pPr>
          </w:p>
        </w:tc>
      </w:tr>
      <w:tr w14:paraId="03440FF8">
        <w:tblPrEx>
          <w:tblCellMar>
            <w:top w:w="0" w:type="dxa"/>
            <w:left w:w="108" w:type="dxa"/>
            <w:bottom w:w="0" w:type="dxa"/>
            <w:right w:w="108" w:type="dxa"/>
          </w:tblCellMar>
        </w:tblPrEx>
        <w:trPr>
          <w:trHeight w:val="624" w:hRule="atLeast"/>
          <w:jc w:val="center"/>
        </w:trPr>
        <w:tc>
          <w:tcPr>
            <w:tcW w:w="578" w:type="dxa"/>
            <w:vMerge w:val="continue"/>
            <w:tcBorders>
              <w:top w:val="nil"/>
              <w:left w:val="single" w:color="000000" w:sz="4" w:space="0"/>
              <w:bottom w:val="single" w:color="000000" w:sz="4" w:space="0"/>
              <w:right w:val="single" w:color="000000" w:sz="4" w:space="0"/>
            </w:tcBorders>
            <w:vAlign w:val="center"/>
          </w:tcPr>
          <w:p w14:paraId="07522FD1">
            <w:pPr>
              <w:widowControl/>
              <w:jc w:val="left"/>
              <w:rPr>
                <w:rFonts w:ascii="宋体" w:hAnsi="宋体" w:eastAsia="宋体" w:cs="宋体"/>
                <w:b/>
                <w:bCs/>
                <w:color w:val="000000"/>
                <w:sz w:val="32"/>
                <w:szCs w:val="32"/>
                <w:highlight w:val="none"/>
              </w:rPr>
            </w:pPr>
          </w:p>
        </w:tc>
        <w:tc>
          <w:tcPr>
            <w:tcW w:w="4812" w:type="dxa"/>
            <w:vMerge w:val="continue"/>
            <w:tcBorders>
              <w:top w:val="nil"/>
              <w:left w:val="nil"/>
              <w:bottom w:val="single" w:color="000000" w:sz="4" w:space="0"/>
              <w:right w:val="single" w:color="000000" w:sz="4" w:space="0"/>
            </w:tcBorders>
            <w:vAlign w:val="center"/>
          </w:tcPr>
          <w:p w14:paraId="7701297B">
            <w:pPr>
              <w:widowControl/>
              <w:jc w:val="left"/>
              <w:rPr>
                <w:rFonts w:ascii="宋体" w:hAnsi="宋体" w:eastAsia="宋体" w:cs="宋体"/>
                <w:color w:val="000000"/>
                <w:sz w:val="24"/>
                <w:szCs w:val="24"/>
                <w:highlight w:val="none"/>
              </w:rPr>
            </w:pPr>
          </w:p>
        </w:tc>
        <w:tc>
          <w:tcPr>
            <w:tcW w:w="4933" w:type="dxa"/>
            <w:vMerge w:val="continue"/>
            <w:tcBorders>
              <w:top w:val="nil"/>
              <w:left w:val="nil"/>
              <w:bottom w:val="single" w:color="000000" w:sz="4" w:space="0"/>
              <w:right w:val="single" w:color="000000" w:sz="4" w:space="0"/>
            </w:tcBorders>
            <w:vAlign w:val="center"/>
          </w:tcPr>
          <w:p w14:paraId="02A15B9C">
            <w:pPr>
              <w:widowControl/>
              <w:jc w:val="left"/>
              <w:rPr>
                <w:rFonts w:ascii="宋体" w:hAnsi="宋体" w:eastAsia="宋体" w:cs="宋体"/>
                <w:color w:val="000000"/>
                <w:sz w:val="24"/>
                <w:szCs w:val="24"/>
                <w:highlight w:val="none"/>
              </w:rPr>
            </w:pPr>
          </w:p>
        </w:tc>
      </w:tr>
      <w:tr w14:paraId="538DF819">
        <w:tblPrEx>
          <w:tblCellMar>
            <w:top w:w="0" w:type="dxa"/>
            <w:left w:w="108" w:type="dxa"/>
            <w:bottom w:w="0" w:type="dxa"/>
            <w:right w:w="108" w:type="dxa"/>
          </w:tblCellMar>
        </w:tblPrEx>
        <w:trPr>
          <w:trHeight w:val="624" w:hRule="atLeast"/>
          <w:jc w:val="center"/>
        </w:trPr>
        <w:tc>
          <w:tcPr>
            <w:tcW w:w="578" w:type="dxa"/>
            <w:vMerge w:val="continue"/>
            <w:tcBorders>
              <w:top w:val="nil"/>
              <w:left w:val="single" w:color="000000" w:sz="4" w:space="0"/>
              <w:bottom w:val="single" w:color="000000" w:sz="4" w:space="0"/>
              <w:right w:val="single" w:color="000000" w:sz="4" w:space="0"/>
            </w:tcBorders>
            <w:vAlign w:val="center"/>
          </w:tcPr>
          <w:p w14:paraId="65255B96">
            <w:pPr>
              <w:widowControl/>
              <w:jc w:val="left"/>
              <w:rPr>
                <w:rFonts w:ascii="宋体" w:hAnsi="宋体" w:eastAsia="宋体" w:cs="宋体"/>
                <w:b/>
                <w:bCs/>
                <w:color w:val="000000"/>
                <w:sz w:val="32"/>
                <w:szCs w:val="32"/>
                <w:highlight w:val="none"/>
              </w:rPr>
            </w:pPr>
          </w:p>
        </w:tc>
        <w:tc>
          <w:tcPr>
            <w:tcW w:w="4812" w:type="dxa"/>
            <w:vMerge w:val="continue"/>
            <w:tcBorders>
              <w:top w:val="nil"/>
              <w:left w:val="nil"/>
              <w:bottom w:val="single" w:color="000000" w:sz="4" w:space="0"/>
              <w:right w:val="single" w:color="000000" w:sz="4" w:space="0"/>
            </w:tcBorders>
            <w:vAlign w:val="center"/>
          </w:tcPr>
          <w:p w14:paraId="653766B2">
            <w:pPr>
              <w:widowControl/>
              <w:jc w:val="left"/>
              <w:rPr>
                <w:rFonts w:ascii="宋体" w:hAnsi="宋体" w:eastAsia="宋体" w:cs="宋体"/>
                <w:color w:val="000000"/>
                <w:sz w:val="24"/>
                <w:szCs w:val="24"/>
                <w:highlight w:val="none"/>
              </w:rPr>
            </w:pPr>
          </w:p>
        </w:tc>
        <w:tc>
          <w:tcPr>
            <w:tcW w:w="4933" w:type="dxa"/>
            <w:vMerge w:val="continue"/>
            <w:tcBorders>
              <w:top w:val="nil"/>
              <w:left w:val="nil"/>
              <w:bottom w:val="single" w:color="000000" w:sz="4" w:space="0"/>
              <w:right w:val="single" w:color="000000" w:sz="4" w:space="0"/>
            </w:tcBorders>
            <w:vAlign w:val="center"/>
          </w:tcPr>
          <w:p w14:paraId="196BB1BA">
            <w:pPr>
              <w:widowControl/>
              <w:jc w:val="left"/>
              <w:rPr>
                <w:rFonts w:ascii="宋体" w:hAnsi="宋体" w:eastAsia="宋体" w:cs="宋体"/>
                <w:color w:val="000000"/>
                <w:sz w:val="24"/>
                <w:szCs w:val="24"/>
                <w:highlight w:val="none"/>
              </w:rPr>
            </w:pPr>
          </w:p>
        </w:tc>
      </w:tr>
      <w:tr w14:paraId="637B19F1">
        <w:tblPrEx>
          <w:tblCellMar>
            <w:top w:w="0" w:type="dxa"/>
            <w:left w:w="108" w:type="dxa"/>
            <w:bottom w:w="0" w:type="dxa"/>
            <w:right w:w="108" w:type="dxa"/>
          </w:tblCellMar>
        </w:tblPrEx>
        <w:trPr>
          <w:trHeight w:val="624" w:hRule="atLeast"/>
          <w:jc w:val="center"/>
        </w:trPr>
        <w:tc>
          <w:tcPr>
            <w:tcW w:w="578" w:type="dxa"/>
            <w:vMerge w:val="continue"/>
            <w:tcBorders>
              <w:top w:val="nil"/>
              <w:left w:val="single" w:color="000000" w:sz="4" w:space="0"/>
              <w:bottom w:val="single" w:color="000000" w:sz="4" w:space="0"/>
              <w:right w:val="single" w:color="000000" w:sz="4" w:space="0"/>
            </w:tcBorders>
            <w:vAlign w:val="center"/>
          </w:tcPr>
          <w:p w14:paraId="0873B485">
            <w:pPr>
              <w:widowControl/>
              <w:jc w:val="left"/>
              <w:rPr>
                <w:rFonts w:ascii="宋体" w:hAnsi="宋体" w:eastAsia="宋体" w:cs="宋体"/>
                <w:b/>
                <w:bCs/>
                <w:color w:val="000000"/>
                <w:sz w:val="32"/>
                <w:szCs w:val="32"/>
                <w:highlight w:val="none"/>
              </w:rPr>
            </w:pPr>
          </w:p>
        </w:tc>
        <w:tc>
          <w:tcPr>
            <w:tcW w:w="4812" w:type="dxa"/>
            <w:vMerge w:val="continue"/>
            <w:tcBorders>
              <w:top w:val="nil"/>
              <w:left w:val="nil"/>
              <w:bottom w:val="single" w:color="000000" w:sz="4" w:space="0"/>
              <w:right w:val="single" w:color="000000" w:sz="4" w:space="0"/>
            </w:tcBorders>
            <w:vAlign w:val="center"/>
          </w:tcPr>
          <w:p w14:paraId="59E11933">
            <w:pPr>
              <w:widowControl/>
              <w:jc w:val="left"/>
              <w:rPr>
                <w:rFonts w:ascii="宋体" w:hAnsi="宋体" w:eastAsia="宋体" w:cs="宋体"/>
                <w:color w:val="000000"/>
                <w:sz w:val="24"/>
                <w:szCs w:val="24"/>
                <w:highlight w:val="none"/>
              </w:rPr>
            </w:pPr>
          </w:p>
        </w:tc>
        <w:tc>
          <w:tcPr>
            <w:tcW w:w="4933" w:type="dxa"/>
            <w:vMerge w:val="continue"/>
            <w:tcBorders>
              <w:top w:val="nil"/>
              <w:left w:val="nil"/>
              <w:bottom w:val="single" w:color="000000" w:sz="4" w:space="0"/>
              <w:right w:val="single" w:color="000000" w:sz="4" w:space="0"/>
            </w:tcBorders>
            <w:vAlign w:val="center"/>
          </w:tcPr>
          <w:p w14:paraId="2B908CED">
            <w:pPr>
              <w:widowControl/>
              <w:jc w:val="left"/>
              <w:rPr>
                <w:rFonts w:ascii="宋体" w:hAnsi="宋体" w:eastAsia="宋体" w:cs="宋体"/>
                <w:color w:val="000000"/>
                <w:sz w:val="24"/>
                <w:szCs w:val="24"/>
                <w:highlight w:val="none"/>
              </w:rPr>
            </w:pPr>
          </w:p>
        </w:tc>
      </w:tr>
      <w:tr w14:paraId="13F6F114">
        <w:tblPrEx>
          <w:tblCellMar>
            <w:top w:w="0" w:type="dxa"/>
            <w:left w:w="108" w:type="dxa"/>
            <w:bottom w:w="0" w:type="dxa"/>
            <w:right w:w="108" w:type="dxa"/>
          </w:tblCellMar>
        </w:tblPrEx>
        <w:trPr>
          <w:trHeight w:val="624" w:hRule="atLeast"/>
          <w:jc w:val="center"/>
        </w:trPr>
        <w:tc>
          <w:tcPr>
            <w:tcW w:w="578" w:type="dxa"/>
            <w:vMerge w:val="continue"/>
            <w:tcBorders>
              <w:top w:val="nil"/>
              <w:left w:val="single" w:color="000000" w:sz="4" w:space="0"/>
              <w:bottom w:val="single" w:color="000000" w:sz="4" w:space="0"/>
              <w:right w:val="single" w:color="000000" w:sz="4" w:space="0"/>
            </w:tcBorders>
            <w:vAlign w:val="center"/>
          </w:tcPr>
          <w:p w14:paraId="049F1516">
            <w:pPr>
              <w:widowControl/>
              <w:jc w:val="left"/>
              <w:rPr>
                <w:rFonts w:ascii="宋体" w:hAnsi="宋体" w:eastAsia="宋体" w:cs="宋体"/>
                <w:b/>
                <w:bCs/>
                <w:color w:val="000000"/>
                <w:sz w:val="32"/>
                <w:szCs w:val="32"/>
                <w:highlight w:val="none"/>
              </w:rPr>
            </w:pPr>
          </w:p>
        </w:tc>
        <w:tc>
          <w:tcPr>
            <w:tcW w:w="4812" w:type="dxa"/>
            <w:vMerge w:val="continue"/>
            <w:tcBorders>
              <w:top w:val="nil"/>
              <w:left w:val="nil"/>
              <w:bottom w:val="single" w:color="000000" w:sz="4" w:space="0"/>
              <w:right w:val="single" w:color="000000" w:sz="4" w:space="0"/>
            </w:tcBorders>
            <w:vAlign w:val="center"/>
          </w:tcPr>
          <w:p w14:paraId="65F89AFF">
            <w:pPr>
              <w:widowControl/>
              <w:jc w:val="left"/>
              <w:rPr>
                <w:rFonts w:ascii="宋体" w:hAnsi="宋体" w:eastAsia="宋体" w:cs="宋体"/>
                <w:color w:val="000000"/>
                <w:sz w:val="24"/>
                <w:szCs w:val="24"/>
                <w:highlight w:val="none"/>
              </w:rPr>
            </w:pPr>
          </w:p>
        </w:tc>
        <w:tc>
          <w:tcPr>
            <w:tcW w:w="4933" w:type="dxa"/>
            <w:vMerge w:val="continue"/>
            <w:tcBorders>
              <w:top w:val="nil"/>
              <w:left w:val="nil"/>
              <w:bottom w:val="single" w:color="000000" w:sz="4" w:space="0"/>
              <w:right w:val="single" w:color="000000" w:sz="4" w:space="0"/>
            </w:tcBorders>
            <w:vAlign w:val="center"/>
          </w:tcPr>
          <w:p w14:paraId="0D5F16B6">
            <w:pPr>
              <w:widowControl/>
              <w:jc w:val="left"/>
              <w:rPr>
                <w:rFonts w:ascii="宋体" w:hAnsi="宋体" w:eastAsia="宋体" w:cs="宋体"/>
                <w:color w:val="000000"/>
                <w:sz w:val="24"/>
                <w:szCs w:val="24"/>
                <w:highlight w:val="none"/>
              </w:rPr>
            </w:pPr>
          </w:p>
        </w:tc>
      </w:tr>
    </w:tbl>
    <w:p w14:paraId="2BDC5CB2">
      <w:pPr>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0B9"/>
    <w:rsid w:val="00045318"/>
    <w:rsid w:val="000650CD"/>
    <w:rsid w:val="00117AC8"/>
    <w:rsid w:val="00133161"/>
    <w:rsid w:val="001866D8"/>
    <w:rsid w:val="001E7774"/>
    <w:rsid w:val="0021703E"/>
    <w:rsid w:val="002E0477"/>
    <w:rsid w:val="003049A6"/>
    <w:rsid w:val="003A1964"/>
    <w:rsid w:val="00415C3B"/>
    <w:rsid w:val="0045164F"/>
    <w:rsid w:val="004E2C1F"/>
    <w:rsid w:val="0051243B"/>
    <w:rsid w:val="005B2CCB"/>
    <w:rsid w:val="00621A03"/>
    <w:rsid w:val="006335FF"/>
    <w:rsid w:val="00664944"/>
    <w:rsid w:val="00755521"/>
    <w:rsid w:val="00767F98"/>
    <w:rsid w:val="00774FF1"/>
    <w:rsid w:val="007C1E90"/>
    <w:rsid w:val="007C7816"/>
    <w:rsid w:val="007F4190"/>
    <w:rsid w:val="00811F42"/>
    <w:rsid w:val="00837AE1"/>
    <w:rsid w:val="00911311"/>
    <w:rsid w:val="0094097A"/>
    <w:rsid w:val="00950F5A"/>
    <w:rsid w:val="00A21EFC"/>
    <w:rsid w:val="00A849A3"/>
    <w:rsid w:val="00B25398"/>
    <w:rsid w:val="00B35A34"/>
    <w:rsid w:val="00B4464B"/>
    <w:rsid w:val="00B537E4"/>
    <w:rsid w:val="00B675F4"/>
    <w:rsid w:val="00B779F1"/>
    <w:rsid w:val="00C30DA6"/>
    <w:rsid w:val="00C8531E"/>
    <w:rsid w:val="00CA76D2"/>
    <w:rsid w:val="00CC72E6"/>
    <w:rsid w:val="00CF40B9"/>
    <w:rsid w:val="00D12A18"/>
    <w:rsid w:val="00D3142F"/>
    <w:rsid w:val="00D90772"/>
    <w:rsid w:val="00DF4A27"/>
    <w:rsid w:val="00E2104C"/>
    <w:rsid w:val="00EB5229"/>
    <w:rsid w:val="00EB5AE8"/>
    <w:rsid w:val="00F215F7"/>
    <w:rsid w:val="00F24F97"/>
    <w:rsid w:val="00FC502B"/>
    <w:rsid w:val="00FD4085"/>
    <w:rsid w:val="197D24C2"/>
    <w:rsid w:val="320C0CE7"/>
    <w:rsid w:val="39376761"/>
    <w:rsid w:val="3BDB460F"/>
    <w:rsid w:val="3E8A5BA6"/>
    <w:rsid w:val="41FA1D91"/>
    <w:rsid w:val="47781873"/>
    <w:rsid w:val="52CE4E21"/>
    <w:rsid w:val="62CB0224"/>
    <w:rsid w:val="668C0B79"/>
    <w:rsid w:val="67BD7DCD"/>
    <w:rsid w:val="6F5557E5"/>
    <w:rsid w:val="790D6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0"/>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2"/>
    <w:unhideWhenUsed/>
    <w:qFormat/>
    <w:uiPriority w:val="0"/>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3"/>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4"/>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6"/>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1"/>
    <w:semiHidden/>
    <w:unhideWhenUsed/>
    <w:qFormat/>
    <w:uiPriority w:val="99"/>
    <w:rPr>
      <w:sz w:val="18"/>
      <w:szCs w:val="18"/>
    </w:rPr>
  </w:style>
  <w:style w:type="paragraph" w:styleId="12">
    <w:name w:val="footer"/>
    <w:basedOn w:val="1"/>
    <w:link w:val="40"/>
    <w:unhideWhenUsed/>
    <w:qFormat/>
    <w:uiPriority w:val="99"/>
    <w:pPr>
      <w:tabs>
        <w:tab w:val="center" w:pos="4153"/>
        <w:tab w:val="right" w:pos="8306"/>
      </w:tabs>
      <w:snapToGrid w:val="0"/>
      <w:jc w:val="left"/>
    </w:pPr>
    <w:rPr>
      <w:sz w:val="18"/>
      <w:szCs w:val="18"/>
    </w:rPr>
  </w:style>
  <w:style w:type="paragraph" w:styleId="13">
    <w:name w:val="header"/>
    <w:basedOn w:val="1"/>
    <w:link w:val="39"/>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rPr>
  </w:style>
  <w:style w:type="character" w:styleId="20">
    <w:name w:val="Hyperlink"/>
    <w:basedOn w:val="18"/>
    <w:qFormat/>
    <w:uiPriority w:val="99"/>
    <w:rPr>
      <w:color w:val="0563C1" w:themeColor="hyperlink"/>
      <w:u w:val="single"/>
      <w14:textFill>
        <w14:solidFill>
          <w14:schemeClr w14:val="hlink"/>
        </w14:solidFill>
      </w14:textFill>
    </w:rPr>
  </w:style>
  <w:style w:type="character" w:customStyle="1" w:styleId="21">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2">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3">
    <w:name w:val="标题 3 字符"/>
    <w:basedOn w:val="18"/>
    <w:link w:val="4"/>
    <w:qFormat/>
    <w:uiPriority w:val="9"/>
    <w:rPr>
      <w:rFonts w:asciiTheme="majorHAnsi" w:hAnsiTheme="majorHAnsi" w:eastAsiaTheme="majorEastAsia" w:cstheme="majorBidi"/>
      <w:color w:val="2F5597" w:themeColor="accent1" w:themeShade="BF"/>
      <w:sz w:val="32"/>
      <w:szCs w:val="32"/>
    </w:rPr>
  </w:style>
  <w:style w:type="character" w:customStyle="1" w:styleId="24">
    <w:name w:val="标题 4 字符"/>
    <w:basedOn w:val="18"/>
    <w:link w:val="5"/>
    <w:qFormat/>
    <w:uiPriority w:val="9"/>
    <w:rPr>
      <w:rFonts w:cstheme="majorBidi"/>
      <w:color w:val="2F5597" w:themeColor="accent1" w:themeShade="BF"/>
      <w:sz w:val="28"/>
      <w:szCs w:val="28"/>
    </w:rPr>
  </w:style>
  <w:style w:type="character" w:customStyle="1" w:styleId="25">
    <w:name w:val="标题 5 字符"/>
    <w:basedOn w:val="18"/>
    <w:link w:val="6"/>
    <w:semiHidden/>
    <w:qFormat/>
    <w:uiPriority w:val="9"/>
    <w:rPr>
      <w:rFonts w:cstheme="majorBidi"/>
      <w:color w:val="2F5597" w:themeColor="accent1" w:themeShade="BF"/>
      <w:sz w:val="24"/>
      <w:szCs w:val="24"/>
    </w:rPr>
  </w:style>
  <w:style w:type="character" w:customStyle="1" w:styleId="26">
    <w:name w:val="标题 6 字符"/>
    <w:basedOn w:val="18"/>
    <w:link w:val="7"/>
    <w:semiHidden/>
    <w:qFormat/>
    <w:uiPriority w:val="9"/>
    <w:rPr>
      <w:rFonts w:cstheme="majorBidi"/>
      <w:b/>
      <w:bCs/>
      <w:color w:val="2F5597" w:themeColor="accent1" w:themeShade="BF"/>
    </w:rPr>
  </w:style>
  <w:style w:type="character" w:customStyle="1" w:styleId="27">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18"/>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明显强调1"/>
    <w:basedOn w:val="18"/>
    <w:qFormat/>
    <w:uiPriority w:val="21"/>
    <w:rPr>
      <w:i/>
      <w:iCs/>
      <w:color w:val="2F5597" w:themeColor="accent1" w:themeShade="BF"/>
    </w:rPr>
  </w:style>
  <w:style w:type="paragraph" w:styleId="36">
    <w:name w:val="Intense Quote"/>
    <w:basedOn w:val="1"/>
    <w:next w:val="1"/>
    <w:link w:val="3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7">
    <w:name w:val="明显引用 字符"/>
    <w:basedOn w:val="18"/>
    <w:link w:val="36"/>
    <w:qFormat/>
    <w:uiPriority w:val="30"/>
    <w:rPr>
      <w:i/>
      <w:iCs/>
      <w:color w:val="2F5597" w:themeColor="accent1" w:themeShade="BF"/>
    </w:rPr>
  </w:style>
  <w:style w:type="character" w:customStyle="1" w:styleId="38">
    <w:name w:val="明显参考1"/>
    <w:basedOn w:val="18"/>
    <w:qFormat/>
    <w:uiPriority w:val="32"/>
    <w:rPr>
      <w:b/>
      <w:bCs/>
      <w:smallCaps/>
      <w:color w:val="2F5597" w:themeColor="accent1" w:themeShade="BF"/>
      <w:spacing w:val="5"/>
    </w:rPr>
  </w:style>
  <w:style w:type="character" w:customStyle="1" w:styleId="39">
    <w:name w:val="页眉 字符"/>
    <w:basedOn w:val="18"/>
    <w:link w:val="13"/>
    <w:qFormat/>
    <w:uiPriority w:val="99"/>
    <w:rPr>
      <w:sz w:val="18"/>
      <w:szCs w:val="18"/>
    </w:rPr>
  </w:style>
  <w:style w:type="character" w:customStyle="1" w:styleId="40">
    <w:name w:val="页脚 字符"/>
    <w:basedOn w:val="18"/>
    <w:link w:val="12"/>
    <w:qFormat/>
    <w:uiPriority w:val="99"/>
    <w:rPr>
      <w:sz w:val="18"/>
      <w:szCs w:val="18"/>
    </w:rPr>
  </w:style>
  <w:style w:type="character" w:customStyle="1" w:styleId="41">
    <w:name w:val="批注框文本 字符"/>
    <w:basedOn w:val="18"/>
    <w:link w:val="11"/>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1658</Words>
  <Characters>1678</Characters>
  <Lines>5</Lines>
  <Paragraphs>1</Paragraphs>
  <TotalTime>34</TotalTime>
  <ScaleCrop>false</ScaleCrop>
  <LinksUpToDate>false</LinksUpToDate>
  <CharactersWithSpaces>1711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2025-11-30T13:30:00Z</dcterms:created>
  <dc:creator>chen liang</dc:creator>
  <cp:lastModifiedBy>小奥很</cp:lastModifiedBy>
  <cp:lastPrinted>2025-12-05T02:12:00Z</cp:lastPrinted>
  <dcterms:modified xsi:type="dcterms:W3CDTF">2026-09-04T07:16:23Z</dcterms:modified>
  <cp:revision>160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eyJoZGlkIjoiODU0NzdiYWVlMWEzYjc1ZWY1Nzc2N2VlYmY5ZGY5ZjEiLCJ1c2VySWQiOiI2MzU3OTM1MzQifQ==</vt:lpwstr>
  </property>
  <property fmtid="{D5CDD505-2E9C-101B-9397-08002B2CF9AE}" pid="3" name="KSOProductBuildVer">
    <vt:lpwstr>2052-12.1.0.28043</vt:lpwstr>
  </property>
  <property fmtid="{D5CDD505-2E9C-101B-9397-08002B2CF9AE}" pid="4" name="ICV">
    <vt:lpwstr>53A2F8581ED74A6BAB24BA58C1F426FB_13</vt:lpwstr>
  </property>
</Properties>
</file>