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A700C">
      <w:pPr>
        <w:widowControl/>
        <w:spacing w:after="0" w:line="240" w:lineRule="auto"/>
      </w:pPr>
    </w:p>
    <w:tbl>
      <w:tblPr>
        <w:tblStyle w:val="8"/>
        <w:tblW w:w="10884" w:type="dxa"/>
        <w:jc w:val="center"/>
        <w:shd w:val="clear" w:color="auto" w:fill="auto"/>
        <w:tblLayout w:type="autofit"/>
        <w:tblCellMar>
          <w:top w:w="0" w:type="dxa"/>
          <w:left w:w="108" w:type="dxa"/>
          <w:bottom w:w="0" w:type="dxa"/>
          <w:right w:w="108" w:type="dxa"/>
        </w:tblCellMar>
      </w:tblPr>
      <w:tblGrid>
        <w:gridCol w:w="604"/>
        <w:gridCol w:w="6484"/>
        <w:gridCol w:w="3796"/>
      </w:tblGrid>
      <w:tr w14:paraId="2A5955F0">
        <w:tblPrEx>
          <w:tblCellMar>
            <w:top w:w="0" w:type="dxa"/>
            <w:left w:w="108" w:type="dxa"/>
            <w:bottom w:w="0" w:type="dxa"/>
            <w:right w:w="108" w:type="dxa"/>
          </w:tblCellMar>
        </w:tblPrEx>
        <w:trPr>
          <w:trHeight w:val="702" w:hRule="atLeast"/>
          <w:jc w:val="center"/>
        </w:trPr>
        <w:tc>
          <w:tcPr>
            <w:tcW w:w="10884" w:type="dxa"/>
            <w:gridSpan w:val="3"/>
            <w:tcBorders>
              <w:top w:val="nil"/>
              <w:left w:val="nil"/>
              <w:bottom w:val="nil"/>
              <w:right w:val="nil"/>
            </w:tcBorders>
            <w:shd w:val="clear" w:color="auto" w:fill="auto"/>
            <w:vAlign w:val="center"/>
          </w:tcPr>
          <w:p w14:paraId="47802FF6">
            <w:pPr>
              <w:widowControl/>
              <w:jc w:val="center"/>
              <w:textAlignment w:val="center"/>
              <w:rPr>
                <w:rFonts w:ascii="宋体" w:hAnsi="宋体" w:eastAsia="宋体" w:cs="宋体"/>
                <w:b/>
                <w:bCs/>
                <w:color w:val="000000"/>
                <w:sz w:val="40"/>
                <w:szCs w:val="40"/>
                <w14:ligatures w14:val="none"/>
              </w:rPr>
            </w:pPr>
            <w:r>
              <w:rPr>
                <w:rFonts w:hint="eastAsia" w:ascii="宋体" w:hAnsi="宋体" w:eastAsia="宋体" w:cs="宋体"/>
                <w:b/>
                <w:bCs/>
                <w:color w:val="000000"/>
                <w:kern w:val="0"/>
                <w:sz w:val="44"/>
                <w:szCs w:val="44"/>
              </w:rPr>
              <w:t>采购需求表</w:t>
            </w:r>
          </w:p>
        </w:tc>
      </w:tr>
      <w:tr w14:paraId="3CC81A50">
        <w:tblPrEx>
          <w:shd w:val="clear" w:color="auto" w:fill="auto"/>
          <w:tblCellMar>
            <w:top w:w="0" w:type="dxa"/>
            <w:left w:w="108" w:type="dxa"/>
            <w:bottom w:w="0" w:type="dxa"/>
            <w:right w:w="108" w:type="dxa"/>
          </w:tblCellMar>
        </w:tblPrEx>
        <w:trPr>
          <w:trHeight w:val="418" w:hRule="atLeast"/>
          <w:jc w:val="center"/>
        </w:trPr>
        <w:tc>
          <w:tcPr>
            <w:tcW w:w="604" w:type="dxa"/>
            <w:vMerge w:val="restart"/>
            <w:tcBorders>
              <w:top w:val="single" w:color="000000" w:sz="4" w:space="0"/>
              <w:left w:val="single" w:color="000000" w:sz="4" w:space="0"/>
              <w:right w:val="single" w:color="000000" w:sz="4" w:space="0"/>
            </w:tcBorders>
            <w:shd w:val="clear" w:color="auto" w:fill="auto"/>
            <w:vAlign w:val="center"/>
          </w:tcPr>
          <w:p w14:paraId="23C51EB5">
            <w:pPr>
              <w:widowControl/>
              <w:rPr>
                <w:rFonts w:ascii="宋体" w:hAnsi="宋体" w:eastAsia="宋体" w:cs="宋体"/>
                <w:color w:val="000000"/>
                <w:sz w:val="32"/>
                <w:szCs w:val="32"/>
              </w:rPr>
            </w:pPr>
          </w:p>
        </w:tc>
        <w:tc>
          <w:tcPr>
            <w:tcW w:w="6484" w:type="dxa"/>
            <w:tcBorders>
              <w:top w:val="single" w:color="000000" w:sz="4" w:space="0"/>
              <w:left w:val="nil"/>
              <w:bottom w:val="single" w:color="000000" w:sz="4" w:space="0"/>
              <w:right w:val="single" w:color="000000" w:sz="4" w:space="0"/>
            </w:tcBorders>
            <w:shd w:val="clear" w:color="auto" w:fill="auto"/>
            <w:vAlign w:val="center"/>
          </w:tcPr>
          <w:p w14:paraId="77F3F72F">
            <w:pPr>
              <w:widowControl/>
              <w:spacing w:line="240" w:lineRule="exact"/>
              <w:contextualSpacing/>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项目名称</w:t>
            </w:r>
          </w:p>
        </w:tc>
        <w:tc>
          <w:tcPr>
            <w:tcW w:w="3796" w:type="dxa"/>
            <w:tcBorders>
              <w:top w:val="single" w:color="000000" w:sz="4" w:space="0"/>
              <w:left w:val="nil"/>
              <w:bottom w:val="single" w:color="000000" w:sz="4" w:space="0"/>
              <w:right w:val="single" w:color="000000" w:sz="4" w:space="0"/>
            </w:tcBorders>
            <w:shd w:val="clear" w:color="auto" w:fill="auto"/>
            <w:vAlign w:val="center"/>
          </w:tcPr>
          <w:p w14:paraId="1D07BCAB">
            <w:pPr>
              <w:spacing w:line="240" w:lineRule="exact"/>
              <w:contextualSpacing/>
              <w:jc w:val="center"/>
              <w:rPr>
                <w:rFonts w:ascii="宋体" w:hAnsi="宋体" w:eastAsia="宋体" w:cs="宋体"/>
                <w:bCs/>
                <w:color w:val="000000"/>
                <w:sz w:val="24"/>
              </w:rPr>
            </w:pPr>
            <w:r>
              <w:rPr>
                <w:rFonts w:hint="eastAsia" w:ascii="宋体" w:hAnsi="宋体" w:eastAsia="宋体" w:cs="宋体"/>
              </w:rPr>
              <w:t>防火墙设备采购</w:t>
            </w:r>
          </w:p>
        </w:tc>
      </w:tr>
      <w:tr w14:paraId="0074A196">
        <w:tblPrEx>
          <w:shd w:val="clear" w:color="auto" w:fill="auto"/>
          <w:tblCellMar>
            <w:top w:w="0" w:type="dxa"/>
            <w:left w:w="108" w:type="dxa"/>
            <w:bottom w:w="0" w:type="dxa"/>
            <w:right w:w="108" w:type="dxa"/>
          </w:tblCellMar>
        </w:tblPrEx>
        <w:trPr>
          <w:trHeight w:val="417" w:hRule="atLeast"/>
          <w:jc w:val="center"/>
        </w:trPr>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E706D">
            <w:pPr>
              <w:widowControl/>
              <w:rPr>
                <w:rFonts w:ascii="宋体" w:hAnsi="宋体" w:eastAsia="宋体" w:cs="宋体"/>
                <w:color w:val="000000"/>
                <w:sz w:val="32"/>
                <w:szCs w:val="32"/>
              </w:rPr>
            </w:pPr>
          </w:p>
        </w:tc>
        <w:tc>
          <w:tcPr>
            <w:tcW w:w="6484" w:type="dxa"/>
            <w:tcBorders>
              <w:top w:val="single" w:color="000000" w:sz="4" w:space="0"/>
              <w:left w:val="nil"/>
              <w:bottom w:val="single" w:color="000000" w:sz="4" w:space="0"/>
              <w:right w:val="single" w:color="000000" w:sz="4" w:space="0"/>
            </w:tcBorders>
            <w:shd w:val="clear" w:color="auto" w:fill="auto"/>
            <w:vAlign w:val="center"/>
          </w:tcPr>
          <w:p w14:paraId="68D42FFE">
            <w:pPr>
              <w:widowControl/>
              <w:spacing w:line="240" w:lineRule="exact"/>
              <w:contextualSpacing/>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数量</w:t>
            </w:r>
          </w:p>
        </w:tc>
        <w:tc>
          <w:tcPr>
            <w:tcW w:w="3796" w:type="dxa"/>
            <w:tcBorders>
              <w:top w:val="single" w:color="000000" w:sz="4" w:space="0"/>
              <w:left w:val="nil"/>
              <w:bottom w:val="single" w:color="000000" w:sz="4" w:space="0"/>
              <w:right w:val="single" w:color="000000" w:sz="4" w:space="0"/>
            </w:tcBorders>
            <w:shd w:val="clear" w:color="auto" w:fill="auto"/>
            <w:vAlign w:val="center"/>
          </w:tcPr>
          <w:p w14:paraId="7461BA07">
            <w:pPr>
              <w:spacing w:line="240" w:lineRule="exact"/>
              <w:contextualSpacing/>
              <w:jc w:val="center"/>
              <w:rPr>
                <w:rFonts w:ascii="宋体" w:hAnsi="宋体" w:eastAsia="宋体" w:cs="宋体"/>
                <w:bCs/>
                <w:color w:val="000000"/>
                <w:sz w:val="24"/>
              </w:rPr>
            </w:pPr>
            <w:r>
              <w:rPr>
                <w:rFonts w:hint="eastAsia" w:ascii="宋体" w:hAnsi="宋体" w:eastAsia="宋体" w:cs="宋体"/>
                <w:bCs/>
                <w:color w:val="000000"/>
                <w:sz w:val="24"/>
              </w:rPr>
              <w:t>4台</w:t>
            </w:r>
          </w:p>
        </w:tc>
      </w:tr>
      <w:tr w14:paraId="1C4CB1EA">
        <w:tblPrEx>
          <w:shd w:val="clear" w:color="auto" w:fill="auto"/>
          <w:tblCellMar>
            <w:top w:w="0" w:type="dxa"/>
            <w:left w:w="108" w:type="dxa"/>
            <w:bottom w:w="0" w:type="dxa"/>
            <w:right w:w="108" w:type="dxa"/>
          </w:tblCellMar>
        </w:tblPrEx>
        <w:trPr>
          <w:trHeight w:val="416" w:hRule="atLeast"/>
          <w:jc w:val="center"/>
        </w:trPr>
        <w:tc>
          <w:tcPr>
            <w:tcW w:w="604" w:type="dxa"/>
            <w:vMerge w:val="restart"/>
            <w:tcBorders>
              <w:top w:val="nil"/>
              <w:left w:val="single" w:color="000000" w:sz="4" w:space="0"/>
              <w:bottom w:val="single" w:color="000000" w:sz="4" w:space="0"/>
              <w:right w:val="single" w:color="000000" w:sz="4" w:space="0"/>
            </w:tcBorders>
            <w:shd w:val="clear" w:color="auto" w:fill="auto"/>
            <w:vAlign w:val="center"/>
          </w:tcPr>
          <w:p w14:paraId="6BA62C66">
            <w:pPr>
              <w:widowControl/>
              <w:spacing w:line="360" w:lineRule="auto"/>
              <w:textAlignment w:val="center"/>
              <w:rPr>
                <w:rFonts w:ascii="宋体" w:hAnsi="宋体" w:eastAsia="宋体" w:cs="宋体"/>
                <w:b/>
                <w:bCs/>
                <w:color w:val="000000"/>
                <w:sz w:val="32"/>
                <w:szCs w:val="32"/>
              </w:rPr>
            </w:pPr>
            <w:r>
              <w:rPr>
                <w:rFonts w:hint="eastAsia" w:ascii="宋体" w:hAnsi="宋体" w:eastAsia="宋体" w:cs="宋体"/>
                <w:b/>
                <w:bCs/>
                <w:color w:val="000000"/>
                <w:spacing w:val="40"/>
                <w:kern w:val="0"/>
                <w:sz w:val="28"/>
                <w:szCs w:val="28"/>
              </w:rPr>
              <w:t>参数需</w:t>
            </w:r>
            <w:r>
              <w:rPr>
                <w:rFonts w:hint="eastAsia" w:ascii="宋体" w:hAnsi="宋体" w:eastAsia="宋体" w:cs="宋体"/>
                <w:b/>
                <w:bCs/>
                <w:color w:val="000000"/>
                <w:kern w:val="0"/>
                <w:sz w:val="28"/>
                <w:szCs w:val="28"/>
              </w:rPr>
              <w:t>求</w:t>
            </w:r>
          </w:p>
        </w:tc>
        <w:tc>
          <w:tcPr>
            <w:tcW w:w="6484" w:type="dxa"/>
            <w:tcBorders>
              <w:top w:val="single" w:color="000000" w:sz="4" w:space="0"/>
              <w:left w:val="nil"/>
              <w:bottom w:val="single" w:color="000000" w:sz="4" w:space="0"/>
              <w:right w:val="single" w:color="000000" w:sz="4" w:space="0"/>
            </w:tcBorders>
            <w:shd w:val="clear" w:color="auto" w:fill="auto"/>
            <w:vAlign w:val="center"/>
          </w:tcPr>
          <w:p w14:paraId="0CD8894B">
            <w:pPr>
              <w:widowControl/>
              <w:spacing w:after="40" w:line="240" w:lineRule="exact"/>
              <w:contextualSpacing/>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技术和性能参数需求</w:t>
            </w:r>
          </w:p>
        </w:tc>
        <w:tc>
          <w:tcPr>
            <w:tcW w:w="3796" w:type="dxa"/>
            <w:tcBorders>
              <w:top w:val="single" w:color="000000" w:sz="4" w:space="0"/>
              <w:left w:val="nil"/>
              <w:bottom w:val="single" w:color="000000" w:sz="4" w:space="0"/>
              <w:right w:val="single" w:color="000000" w:sz="4" w:space="0"/>
            </w:tcBorders>
            <w:shd w:val="clear" w:color="auto" w:fill="auto"/>
            <w:vAlign w:val="center"/>
          </w:tcPr>
          <w:p w14:paraId="7284B8AF">
            <w:pPr>
              <w:widowControl/>
              <w:spacing w:after="40" w:line="240" w:lineRule="exact"/>
              <w:contextualSpacing/>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配置需求</w:t>
            </w:r>
          </w:p>
        </w:tc>
      </w:tr>
      <w:tr w14:paraId="1A7DB396">
        <w:tblPrEx>
          <w:shd w:val="clear" w:color="auto" w:fill="auto"/>
          <w:tblCellMar>
            <w:top w:w="0" w:type="dxa"/>
            <w:left w:w="108" w:type="dxa"/>
            <w:bottom w:w="0" w:type="dxa"/>
            <w:right w:w="108" w:type="dxa"/>
          </w:tblCellMar>
        </w:tblPrEx>
        <w:trPr>
          <w:trHeight w:val="9771"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2044B882">
            <w:pPr>
              <w:widowControl/>
              <w:rPr>
                <w:rFonts w:ascii="宋体" w:hAnsi="宋体" w:eastAsia="宋体" w:cs="宋体"/>
                <w:b/>
                <w:bCs/>
                <w:color w:val="000000"/>
                <w:sz w:val="32"/>
                <w:szCs w:val="32"/>
              </w:rPr>
            </w:pPr>
          </w:p>
        </w:tc>
        <w:tc>
          <w:tcPr>
            <w:tcW w:w="6484" w:type="dxa"/>
            <w:vMerge w:val="restart"/>
            <w:tcBorders>
              <w:top w:val="nil"/>
              <w:left w:val="nil"/>
              <w:bottom w:val="single" w:color="000000" w:sz="4" w:space="0"/>
              <w:right w:val="single" w:color="000000" w:sz="4" w:space="0"/>
            </w:tcBorders>
            <w:shd w:val="clear" w:color="auto" w:fill="auto"/>
            <w:vAlign w:val="center"/>
          </w:tcPr>
          <w:p w14:paraId="5B542D1C">
            <w:pPr>
              <w:spacing w:line="250" w:lineRule="exact"/>
              <w:contextualSpacing/>
              <w:rPr>
                <w:rFonts w:ascii="宋体" w:hAnsi="宋体" w:eastAsia="宋体" w:cs="宋体"/>
                <w:b/>
                <w:color w:val="000000"/>
                <w:szCs w:val="22"/>
              </w:rPr>
            </w:pPr>
            <w:r>
              <w:rPr>
                <w:rFonts w:hint="eastAsia" w:ascii="宋体" w:hAnsi="宋体" w:eastAsia="宋体" w:cs="宋体"/>
                <w:b/>
                <w:color w:val="000000"/>
                <w:szCs w:val="22"/>
              </w:rPr>
              <w:t>防火墙1：</w:t>
            </w:r>
          </w:p>
          <w:p w14:paraId="6E719474">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1、防火墙吞吐量≥15Gbps，最大并发连接数≥1000万，每秒新建连接数≥25万。</w:t>
            </w:r>
          </w:p>
          <w:p w14:paraId="527B0C64">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2、千兆Combo接口≥8，千兆电口≥4，千兆光口≥4，万兆光口≥6，硬盘容量≥200G。</w:t>
            </w:r>
          </w:p>
          <w:p w14:paraId="3EF13977">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3、电源模块≥2，风扇模块≥2。</w:t>
            </w:r>
          </w:p>
          <w:p w14:paraId="7B14BF97">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4、支持虚拟线，二层透明，三层，混合，旁路监听，单臂接入方式</w:t>
            </w:r>
          </w:p>
          <w:p w14:paraId="635AFFD7">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5、支持A-S模式、A-A模式</w:t>
            </w:r>
          </w:p>
          <w:p w14:paraId="4BE1490A">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6、支持传统防火墙、VPN、入侵防御、防病毒、带宽管理、URL过滤等多种功能。</w:t>
            </w:r>
          </w:p>
          <w:p w14:paraId="42B0D615">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7、支持HTTP、HTTPS、DNS等应用层Flood攻击。</w:t>
            </w:r>
          </w:p>
          <w:p w14:paraId="74624AA8">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8、提供基于源/目的IP地址、安全区、应用、应用组、协议/端口、时间、安全模板的精细粒度的安全访问控制，时间精确到秒级</w:t>
            </w:r>
          </w:p>
          <w:p w14:paraId="7FF1A0AF">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9、策略可按匹配顺序、策略分组、新建顺序、安全区分组等不同维度的查看方式，在按匹配顺序查看下，可以实现优先级的调整，也可以输入具体的策略序号、置顶或者置底等方式进行调整</w:t>
            </w:r>
          </w:p>
          <w:p w14:paraId="442BC7F4">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10、为高效编辑策略，支持对多条策略的源/目的地址、协议/端口、应用、时间等进行批量修改，实现一次修改覆盖多条策略</w:t>
            </w:r>
          </w:p>
          <w:p w14:paraId="1A64B388">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11、系统预定义IPS签名数量≥20000，CVE的签名条目数不得少于11000，支持用户自定义签名规则，支持正则表达式，提供具备CNAS或CMA资质机构提供的三方测试报告。</w:t>
            </w:r>
          </w:p>
          <w:p w14:paraId="72DB2392">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12、支持最大100层的病毒压缩文件检测和阻断，提供具备CNAS或CMA资质机构提供的三方测试报告。</w:t>
            </w:r>
          </w:p>
          <w:p w14:paraId="0A5DD143">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13、文件传输协议，支持基于HTTP、FTP、POP3、SMTP、IMAP协议的进行多线程下载以及有密码压缩包下载限制</w:t>
            </w:r>
          </w:p>
          <w:p w14:paraId="68FB4931">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14、支持基于FTP、HTTP、SMTP、POP3、IMAP、SMB、NFS、IECMMS、IEC104协议的病毒检测与阻断，包括邮件正文/附件、网页及下载文件中包含的病毒</w:t>
            </w:r>
          </w:p>
          <w:p w14:paraId="0AA03758">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15、病毒库覆盖上亿级变种病毒，提供具备CNAS或CMA资质机构提供的三方测试报告。</w:t>
            </w:r>
          </w:p>
          <w:p w14:paraId="4E8C6D62">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16、所投产品具备《网络关键设备和网络安全专用产品安全认证证书》</w:t>
            </w:r>
          </w:p>
          <w:p w14:paraId="253C0015">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17、设备厂商具备知识产权合规管理体系认证证书</w:t>
            </w:r>
          </w:p>
          <w:p w14:paraId="7FDF3636">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18、入侵防护模块，含入侵防护特征库的五年升级</w:t>
            </w:r>
          </w:p>
          <w:p w14:paraId="687AC7BC">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19、防病毒模块，含病毒特征库五年升级</w:t>
            </w:r>
          </w:p>
          <w:p w14:paraId="662FC156">
            <w:pPr>
              <w:spacing w:line="250" w:lineRule="exact"/>
              <w:contextualSpacing/>
              <w:rPr>
                <w:rFonts w:hint="eastAsia" w:ascii="宋体" w:hAnsi="宋体" w:eastAsia="宋体" w:cs="宋体"/>
                <w:color w:val="000000"/>
                <w:szCs w:val="22"/>
              </w:rPr>
            </w:pPr>
            <w:r>
              <w:rPr>
                <w:rFonts w:hint="eastAsia" w:ascii="宋体" w:hAnsi="宋体" w:eastAsia="宋体" w:cs="宋体"/>
                <w:color w:val="000000"/>
                <w:szCs w:val="22"/>
              </w:rPr>
              <w:t>20、10GE多模模块≥4个</w:t>
            </w:r>
          </w:p>
          <w:p w14:paraId="247669C8">
            <w:pPr>
              <w:spacing w:line="250" w:lineRule="exact"/>
              <w:contextualSpacing/>
              <w:rPr>
                <w:rFonts w:ascii="宋体" w:hAnsi="宋体" w:eastAsia="宋体" w:cs="宋体"/>
                <w:b/>
                <w:color w:val="000000"/>
                <w:szCs w:val="22"/>
              </w:rPr>
            </w:pPr>
            <w:r>
              <w:rPr>
                <w:rFonts w:hint="eastAsia" w:ascii="宋体" w:hAnsi="宋体" w:eastAsia="宋体" w:cs="宋体"/>
                <w:b/>
                <w:color w:val="000000"/>
                <w:szCs w:val="22"/>
              </w:rPr>
              <w:t>防火墙2：</w:t>
            </w:r>
          </w:p>
          <w:p w14:paraId="1DE9C78D">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1、防火墙吞吐量≥20Gbps,最大并发连接数≥400万,每秒新建连接数≥30万。</w:t>
            </w:r>
          </w:p>
          <w:p w14:paraId="725B9DFA">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2、RJ45串口≥1，RJ45管理口≥1，USB接口≥2，≥4个万兆SFP+接口，≥4个千兆SFP接口；≥16G内存，≥256G固态硬盘，≥4T 机械硬盘；</w:t>
            </w:r>
          </w:p>
          <w:p w14:paraId="44C93591">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3、电源模块≥2，风扇模块≥2。</w:t>
            </w:r>
          </w:p>
          <w:p w14:paraId="34BC4B8F">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4、支持虚拟线，二层透明，三层，混合，旁路监听，单臂接入方式</w:t>
            </w:r>
          </w:p>
          <w:p w14:paraId="515F01BC">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5、支持A-S模式、A-A模式</w:t>
            </w:r>
          </w:p>
          <w:p w14:paraId="7569D774">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6、支持传统防火墙、VPN、入侵防御、防病毒、带宽管理、URL过滤等多种功能。</w:t>
            </w:r>
          </w:p>
          <w:p w14:paraId="4AA66C0A">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7、支持HTTP、HTTPS、DNS等应用层Flood攻击。</w:t>
            </w:r>
          </w:p>
          <w:p w14:paraId="73DA22AB">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8、提供基于源/目的IP地址、安全区、应用、应用组、协议/端口、时间、安全模板的精细粒度的安全访问控制，时间精确到秒级</w:t>
            </w:r>
          </w:p>
          <w:p w14:paraId="401666EB">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9、策略可按匹配顺序、策略分组、新建顺序、安全区分组等不同维度的查看方式，在按匹配顺序查看下，可以实现优先级的调整，也可以输入具体的策略序号、置顶或者置底等方式进行调整</w:t>
            </w:r>
          </w:p>
          <w:p w14:paraId="24F49511">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10、为高效编辑策略，支持对多条策略的源/目的地址、协议/端口、应用、时间等进行批量修改，实现一次修改覆盖多条策略</w:t>
            </w:r>
          </w:p>
          <w:p w14:paraId="3038A27C">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11、支持≥11000种入侵规则过滤并提供服务器、内网等多种规则模板（提供截图证明并加盖投标人公章）</w:t>
            </w:r>
          </w:p>
          <w:p w14:paraId="376EDEA1">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12、支持远程扫描、暴力破解、缓存区溢出、蠕虫病毒、木马后门、SQL注入、跨站脚本等检测和防护</w:t>
            </w:r>
          </w:p>
          <w:p w14:paraId="6DC38F43">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13、支持≥2500万文件病毒库，病毒查杀率高</w:t>
            </w:r>
          </w:p>
          <w:p w14:paraId="1037F1AC">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（提供截图证明并加盖投标人公章）</w:t>
            </w:r>
          </w:p>
          <w:p w14:paraId="20F1DBB6">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14、文件传输协议，支持基于HTTP、FTP、POP3、SMTP、IMAP协议的进行多线程下载以及有密码压缩包下载限制</w:t>
            </w:r>
          </w:p>
          <w:p w14:paraId="56CA5A48">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15、支持基于FTP、HTTP、SMTP、POP3、IMAP、SMB、NFS、IECMMS、IEC104协议的病毒检测与阻断，包括邮件正文/附件、网页及下载文件中包含的病毒</w:t>
            </w:r>
          </w:p>
          <w:p w14:paraId="6BA3192B">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16、支持ZIP/ARJ/CAB/RAR/GZIP/BZIP2/TAR等不少于20层压缩文件的病毒查杀</w:t>
            </w:r>
          </w:p>
          <w:p w14:paraId="49335075">
            <w:p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（提供截图证明并加盖原厂公章）</w:t>
            </w:r>
          </w:p>
          <w:p w14:paraId="7475AAC2">
            <w:pPr>
              <w:numPr>
                <w:ilvl w:val="0"/>
                <w:numId w:val="1"/>
              </w:numPr>
              <w:shd w:val="clear" w:color="auto"/>
              <w:spacing w:line="250" w:lineRule="exact"/>
              <w:contextualSpacing/>
              <w:rPr>
                <w:rFonts w:ascii="宋体" w:hAnsi="宋体" w:eastAsia="宋体" w:cs="宋体"/>
                <w:color w:val="000000"/>
                <w:szCs w:val="22"/>
              </w:rPr>
            </w:pPr>
            <w:r>
              <w:rPr>
                <w:rFonts w:hint="eastAsia" w:ascii="宋体" w:hAnsi="宋体" w:eastAsia="宋体" w:cs="宋体"/>
                <w:color w:val="000000"/>
                <w:szCs w:val="22"/>
              </w:rPr>
              <w:t>所投产品具备《网络关键设备和网络安全专用产品安全认证证书》</w:t>
            </w:r>
          </w:p>
          <w:p w14:paraId="09A3EF92">
            <w:pPr>
              <w:shd w:val="clear" w:color="auto"/>
              <w:spacing w:line="250" w:lineRule="exact"/>
              <w:contextualSpacing/>
              <w:rPr>
                <w:rFonts w:ascii="宋体" w:hAnsi="宋体" w:eastAsia="宋体" w:cs="宋体"/>
                <w:szCs w:val="22"/>
              </w:rPr>
            </w:pPr>
            <w:r>
              <w:rPr>
                <w:rFonts w:hint="eastAsia" w:ascii="宋体" w:hAnsi="宋体" w:eastAsia="宋体" w:cs="宋体"/>
                <w:szCs w:val="22"/>
              </w:rPr>
              <w:t>18、所投产品具备IPv6 Enabled Security Logo认证。</w:t>
            </w:r>
          </w:p>
          <w:p w14:paraId="77C6EC81">
            <w:pPr>
              <w:shd w:val="clear" w:color="auto"/>
              <w:spacing w:line="250" w:lineRule="exact"/>
              <w:contextualSpacing/>
              <w:rPr>
                <w:rFonts w:ascii="宋体" w:hAnsi="宋体" w:eastAsia="宋体" w:cs="宋体"/>
                <w:szCs w:val="22"/>
              </w:rPr>
            </w:pPr>
            <w:r>
              <w:rPr>
                <w:rFonts w:hint="eastAsia" w:ascii="宋体" w:hAnsi="宋体" w:eastAsia="宋体" w:cs="宋体"/>
                <w:szCs w:val="22"/>
              </w:rPr>
              <w:t>19、设备厂商具备知识产权合规管理体系认证证书</w:t>
            </w:r>
          </w:p>
          <w:p w14:paraId="3A936658">
            <w:pPr>
              <w:shd w:val="clear" w:color="auto"/>
              <w:spacing w:line="250" w:lineRule="exact"/>
              <w:contextualSpacing/>
              <w:rPr>
                <w:rFonts w:ascii="宋体" w:hAnsi="宋体" w:eastAsia="宋体" w:cs="宋体"/>
                <w:szCs w:val="22"/>
              </w:rPr>
            </w:pPr>
            <w:r>
              <w:rPr>
                <w:rFonts w:hint="eastAsia" w:ascii="宋体" w:hAnsi="宋体" w:eastAsia="宋体" w:cs="宋体"/>
                <w:szCs w:val="22"/>
              </w:rPr>
              <w:t>20、为保证所使用设备的供应链安全，设备厂商应具备由中国安全技术防范认证中心颁发的重要行业供应商网络安全服务认证证书。</w:t>
            </w:r>
          </w:p>
          <w:p w14:paraId="2D596017">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21、入侵防护模块，含入侵防护特征库的五年升级</w:t>
            </w:r>
          </w:p>
          <w:p w14:paraId="7CA98166">
            <w:pPr>
              <w:shd w:val="clea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22、防病毒模块，含病毒特征库五年升级</w:t>
            </w:r>
          </w:p>
          <w:p w14:paraId="6BBC648E">
            <w:pPr>
              <w:spacing w:line="250" w:lineRule="exact"/>
              <w:contextualSpacing/>
              <w:rPr>
                <w:rFonts w:ascii="宋体" w:hAnsi="宋体" w:eastAsia="宋体" w:cs="宋体"/>
                <w:color w:val="000000"/>
                <w:szCs w:val="22"/>
              </w:rPr>
            </w:pPr>
            <w:r>
              <w:rPr>
                <w:rFonts w:hint="eastAsia" w:ascii="宋体" w:hAnsi="宋体" w:eastAsia="宋体" w:cs="宋体"/>
                <w:color w:val="000000"/>
                <w:szCs w:val="22"/>
              </w:rPr>
              <w:t>23、10GE多模模块≥4个</w:t>
            </w:r>
          </w:p>
        </w:tc>
        <w:tc>
          <w:tcPr>
            <w:tcW w:w="3796" w:type="dxa"/>
            <w:vMerge w:val="restart"/>
            <w:tcBorders>
              <w:top w:val="nil"/>
              <w:left w:val="nil"/>
              <w:bottom w:val="single" w:color="000000" w:sz="4" w:space="0"/>
              <w:right w:val="single" w:color="000000" w:sz="4" w:space="0"/>
            </w:tcBorders>
            <w:shd w:val="clear" w:color="auto" w:fill="auto"/>
            <w:vAlign w:val="center"/>
          </w:tcPr>
          <w:p w14:paraId="1C5F1216">
            <w:pPr>
              <w:rPr>
                <w:rFonts w:ascii="宋体" w:hAnsi="宋体" w:eastAsia="宋体" w:cs="宋体"/>
                <w:color w:val="000000"/>
                <w:kern w:val="0"/>
                <w:szCs w:val="22"/>
                <w:lang w:bidi="ar"/>
              </w:rPr>
            </w:pPr>
            <w:r>
              <w:rPr>
                <w:rFonts w:ascii="宋体" w:hAnsi="宋体" w:eastAsia="宋体" w:cs="宋体"/>
                <w:color w:val="000000"/>
                <w:kern w:val="0"/>
                <w:szCs w:val="22"/>
                <w:lang w:bidi="ar"/>
              </w:rPr>
              <w:t>提供 7×24 小时服务热线支持</w:t>
            </w:r>
          </w:p>
          <w:p w14:paraId="6A29AB5B">
            <w:pPr>
              <w:rPr>
                <w:rFonts w:ascii="宋体" w:hAnsi="宋体" w:eastAsia="宋体" w:cs="宋体"/>
                <w:color w:val="000000"/>
                <w:kern w:val="0"/>
                <w:szCs w:val="22"/>
                <w:lang w:bidi="ar"/>
              </w:rPr>
            </w:pPr>
            <w:r>
              <w:rPr>
                <w:rFonts w:hint="eastAsia" w:ascii="宋体" w:hAnsi="宋体" w:eastAsia="宋体" w:cs="宋体"/>
                <w:color w:val="000000"/>
                <w:kern w:val="0"/>
                <w:szCs w:val="22"/>
                <w:lang w:bidi="ar"/>
              </w:rPr>
              <w:t>提供</w:t>
            </w:r>
            <w:r>
              <w:rPr>
                <w:rFonts w:ascii="宋体" w:hAnsi="宋体" w:eastAsia="宋体" w:cs="宋体"/>
                <w:color w:val="000000"/>
                <w:kern w:val="0"/>
                <w:szCs w:val="22"/>
                <w:lang w:bidi="ar"/>
              </w:rPr>
              <w:t>5年</w:t>
            </w:r>
            <w:r>
              <w:rPr>
                <w:rFonts w:hint="eastAsia" w:ascii="宋体" w:hAnsi="宋体" w:eastAsia="宋体" w:cs="宋体"/>
                <w:color w:val="000000"/>
                <w:kern w:val="0"/>
                <w:szCs w:val="22"/>
                <w:lang w:bidi="ar"/>
              </w:rPr>
              <w:t>原厂</w:t>
            </w:r>
            <w:r>
              <w:rPr>
                <w:rFonts w:ascii="宋体" w:hAnsi="宋体" w:eastAsia="宋体" w:cs="宋体"/>
                <w:color w:val="000000"/>
                <w:kern w:val="0"/>
                <w:szCs w:val="22"/>
                <w:lang w:bidi="ar"/>
              </w:rPr>
              <w:t>免费维保服务，含每年不少于四次的设备详细巡检</w:t>
            </w:r>
          </w:p>
          <w:p w14:paraId="34F558FD">
            <w:pPr>
              <w:rPr>
                <w:rFonts w:ascii="宋体" w:hAnsi="宋体" w:eastAsia="宋体" w:cs="宋体"/>
                <w:color w:val="000000"/>
                <w:kern w:val="0"/>
                <w:szCs w:val="22"/>
                <w:lang w:bidi="ar"/>
              </w:rPr>
            </w:pPr>
            <w:r>
              <w:rPr>
                <w:rFonts w:ascii="宋体" w:hAnsi="宋体" w:eastAsia="宋体" w:cs="宋体"/>
                <w:color w:val="000000"/>
                <w:kern w:val="0"/>
                <w:szCs w:val="22"/>
                <w:lang w:bidi="ar"/>
              </w:rPr>
              <w:t>若因设备本身问题导致业务中断，</w:t>
            </w:r>
            <w:r>
              <w:rPr>
                <w:rFonts w:hint="eastAsia" w:ascii="宋体" w:hAnsi="宋体" w:eastAsia="宋体" w:cs="宋体"/>
                <w:color w:val="000000"/>
                <w:kern w:val="0"/>
                <w:szCs w:val="22"/>
                <w:lang w:bidi="ar"/>
              </w:rPr>
              <w:t>需</w:t>
            </w:r>
            <w:r>
              <w:rPr>
                <w:rFonts w:ascii="宋体" w:hAnsi="宋体" w:eastAsia="宋体" w:cs="宋体"/>
                <w:color w:val="000000"/>
                <w:kern w:val="0"/>
                <w:szCs w:val="22"/>
                <w:lang w:bidi="ar"/>
              </w:rPr>
              <w:t>确保 8 小时内完成故障修复</w:t>
            </w:r>
          </w:p>
          <w:p w14:paraId="71FA101A">
            <w:pPr>
              <w:rPr>
                <w:rFonts w:ascii="宋体" w:hAnsi="宋体" w:eastAsia="宋体" w:cs="宋体"/>
                <w:color w:val="000000"/>
                <w:kern w:val="0"/>
                <w:szCs w:val="22"/>
                <w:lang w:bidi="ar"/>
              </w:rPr>
            </w:pPr>
            <w:r>
              <w:rPr>
                <w:rFonts w:hint="eastAsia" w:ascii="宋体" w:hAnsi="宋体" w:eastAsia="宋体" w:cs="宋体"/>
                <w:color w:val="000000"/>
                <w:kern w:val="0"/>
                <w:szCs w:val="22"/>
                <w:lang w:bidi="ar"/>
              </w:rPr>
              <w:t>本次采购要求防火墙</w:t>
            </w:r>
            <w:r>
              <w:rPr>
                <w:rFonts w:ascii="宋体" w:hAnsi="宋体" w:eastAsia="宋体" w:cs="宋体"/>
                <w:color w:val="000000"/>
                <w:kern w:val="0"/>
                <w:szCs w:val="22"/>
                <w:lang w:bidi="ar"/>
              </w:rPr>
              <w:t>1与防火墙2</w:t>
            </w:r>
            <w:r>
              <w:rPr>
                <w:rFonts w:hint="eastAsia" w:ascii="宋体" w:hAnsi="宋体" w:eastAsia="宋体" w:cs="宋体"/>
                <w:color w:val="000000"/>
                <w:kern w:val="0"/>
                <w:szCs w:val="22"/>
                <w:lang w:bidi="ar"/>
              </w:rPr>
              <w:t>品牌异构</w:t>
            </w:r>
          </w:p>
        </w:tc>
      </w:tr>
      <w:tr w14:paraId="42C88E18">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2EEC4DBE">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6D2BF692">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007D5DF1">
            <w:pPr>
              <w:widowControl/>
              <w:rPr>
                <w:rFonts w:ascii="宋体" w:hAnsi="宋体" w:eastAsia="宋体" w:cs="宋体"/>
                <w:color w:val="000000"/>
                <w:sz w:val="24"/>
              </w:rPr>
            </w:pPr>
          </w:p>
        </w:tc>
      </w:tr>
      <w:tr w14:paraId="3B4C0F0C">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1BD55212">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065EB196">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14A3B0F1">
            <w:pPr>
              <w:widowControl/>
              <w:rPr>
                <w:rFonts w:ascii="宋体" w:hAnsi="宋体" w:eastAsia="宋体" w:cs="宋体"/>
                <w:color w:val="000000"/>
                <w:sz w:val="24"/>
              </w:rPr>
            </w:pPr>
          </w:p>
        </w:tc>
      </w:tr>
      <w:tr w14:paraId="4278CB06">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70E59482">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40E29B48">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734BEA54">
            <w:pPr>
              <w:widowControl/>
              <w:rPr>
                <w:rFonts w:ascii="宋体" w:hAnsi="宋体" w:eastAsia="宋体" w:cs="宋体"/>
                <w:color w:val="000000"/>
                <w:sz w:val="24"/>
              </w:rPr>
            </w:pPr>
          </w:p>
        </w:tc>
      </w:tr>
      <w:tr w14:paraId="4BB248F8">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267C786B">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0EC70B53">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1F314F3F">
            <w:pPr>
              <w:widowControl/>
              <w:rPr>
                <w:rFonts w:ascii="宋体" w:hAnsi="宋体" w:eastAsia="宋体" w:cs="宋体"/>
                <w:color w:val="000000"/>
                <w:sz w:val="24"/>
              </w:rPr>
            </w:pPr>
          </w:p>
        </w:tc>
      </w:tr>
      <w:tr w14:paraId="4151ECDA">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6891AE04">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12AB9992">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3745B51C">
            <w:pPr>
              <w:widowControl/>
              <w:rPr>
                <w:rFonts w:ascii="宋体" w:hAnsi="宋体" w:eastAsia="宋体" w:cs="宋体"/>
                <w:color w:val="000000"/>
                <w:sz w:val="24"/>
              </w:rPr>
            </w:pPr>
          </w:p>
        </w:tc>
      </w:tr>
      <w:tr w14:paraId="113996F6">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75458F36">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1DDA8F85">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0E59DA3C">
            <w:pPr>
              <w:widowControl/>
              <w:rPr>
                <w:rFonts w:ascii="宋体" w:hAnsi="宋体" w:eastAsia="宋体" w:cs="宋体"/>
                <w:color w:val="000000"/>
                <w:sz w:val="24"/>
              </w:rPr>
            </w:pPr>
          </w:p>
        </w:tc>
      </w:tr>
      <w:tr w14:paraId="654BD970">
        <w:tblPrEx>
          <w:shd w:val="clear" w:color="auto" w:fill="auto"/>
          <w:tblCellMar>
            <w:top w:w="0" w:type="dxa"/>
            <w:left w:w="108" w:type="dxa"/>
            <w:bottom w:w="0" w:type="dxa"/>
            <w:right w:w="108" w:type="dxa"/>
          </w:tblCellMar>
        </w:tblPrEx>
        <w:trPr>
          <w:trHeight w:val="784"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44B79A89">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3953721F">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112D21C1">
            <w:pPr>
              <w:widowControl/>
              <w:rPr>
                <w:rFonts w:ascii="宋体" w:hAnsi="宋体" w:eastAsia="宋体" w:cs="宋体"/>
                <w:color w:val="000000"/>
                <w:sz w:val="24"/>
              </w:rPr>
            </w:pPr>
          </w:p>
        </w:tc>
      </w:tr>
      <w:tr w14:paraId="2F2CFF8C">
        <w:tblPrEx>
          <w:shd w:val="clear" w:color="auto" w:fill="auto"/>
          <w:tblCellMar>
            <w:top w:w="0" w:type="dxa"/>
            <w:left w:w="108" w:type="dxa"/>
            <w:bottom w:w="0" w:type="dxa"/>
            <w:right w:w="108" w:type="dxa"/>
          </w:tblCellMar>
        </w:tblPrEx>
        <w:trPr>
          <w:trHeight w:val="4735" w:hRule="atLeast"/>
          <w:jc w:val="center"/>
        </w:trPr>
        <w:tc>
          <w:tcPr>
            <w:tcW w:w="604" w:type="dxa"/>
            <w:vMerge w:val="continue"/>
            <w:tcBorders>
              <w:top w:val="nil"/>
              <w:left w:val="single" w:color="000000" w:sz="4" w:space="0"/>
              <w:bottom w:val="single" w:color="000000" w:sz="4" w:space="0"/>
              <w:right w:val="single" w:color="000000" w:sz="4" w:space="0"/>
            </w:tcBorders>
            <w:shd w:val="clear" w:color="auto" w:fill="auto"/>
            <w:vAlign w:val="center"/>
          </w:tcPr>
          <w:p w14:paraId="45278A4C">
            <w:pPr>
              <w:widowControl/>
              <w:rPr>
                <w:rFonts w:ascii="宋体" w:hAnsi="宋体" w:eastAsia="宋体" w:cs="宋体"/>
                <w:b/>
                <w:bCs/>
                <w:color w:val="000000"/>
                <w:sz w:val="32"/>
                <w:szCs w:val="32"/>
              </w:rPr>
            </w:pPr>
          </w:p>
        </w:tc>
        <w:tc>
          <w:tcPr>
            <w:tcW w:w="6484" w:type="dxa"/>
            <w:vMerge w:val="continue"/>
            <w:tcBorders>
              <w:top w:val="nil"/>
              <w:left w:val="nil"/>
              <w:bottom w:val="single" w:color="000000" w:sz="4" w:space="0"/>
              <w:right w:val="single" w:color="000000" w:sz="4" w:space="0"/>
            </w:tcBorders>
            <w:shd w:val="clear" w:color="auto" w:fill="auto"/>
            <w:vAlign w:val="center"/>
          </w:tcPr>
          <w:p w14:paraId="5B6F3970">
            <w:pPr>
              <w:widowControl/>
              <w:rPr>
                <w:rFonts w:ascii="宋体" w:hAnsi="宋体" w:eastAsia="宋体" w:cs="宋体"/>
                <w:color w:val="000000"/>
                <w:sz w:val="24"/>
              </w:rPr>
            </w:pPr>
          </w:p>
        </w:tc>
        <w:tc>
          <w:tcPr>
            <w:tcW w:w="3796" w:type="dxa"/>
            <w:vMerge w:val="continue"/>
            <w:tcBorders>
              <w:top w:val="nil"/>
              <w:left w:val="nil"/>
              <w:bottom w:val="single" w:color="000000" w:sz="4" w:space="0"/>
              <w:right w:val="single" w:color="000000" w:sz="4" w:space="0"/>
            </w:tcBorders>
            <w:shd w:val="clear" w:color="auto" w:fill="auto"/>
            <w:vAlign w:val="center"/>
          </w:tcPr>
          <w:p w14:paraId="19ED54F4">
            <w:pPr>
              <w:widowControl/>
              <w:rPr>
                <w:rFonts w:ascii="宋体" w:hAnsi="宋体" w:eastAsia="宋体" w:cs="宋体"/>
                <w:color w:val="000000"/>
                <w:sz w:val="24"/>
              </w:rPr>
            </w:pPr>
          </w:p>
        </w:tc>
      </w:tr>
    </w:tbl>
    <w:p w14:paraId="5732EAF3">
      <w:pPr>
        <w:rPr>
          <w:rFonts w:ascii="宋体" w:hAnsi="宋体" w:eastAsia="宋体"/>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AAE0B"/>
    <w:multiLevelType w:val="singleLevel"/>
    <w:tmpl w:val="247AAE0B"/>
    <w:lvl w:ilvl="0" w:tentative="0">
      <w:start w:val="1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BE5"/>
    <w:rsid w:val="00013C6B"/>
    <w:rsid w:val="00044FC9"/>
    <w:rsid w:val="00052008"/>
    <w:rsid w:val="000748BC"/>
    <w:rsid w:val="00082FB2"/>
    <w:rsid w:val="000B2AD2"/>
    <w:rsid w:val="000B583F"/>
    <w:rsid w:val="000C423C"/>
    <w:rsid w:val="000E4F91"/>
    <w:rsid w:val="000F5168"/>
    <w:rsid w:val="0010039A"/>
    <w:rsid w:val="00144436"/>
    <w:rsid w:val="00174AF0"/>
    <w:rsid w:val="001A35B8"/>
    <w:rsid w:val="001A7CE9"/>
    <w:rsid w:val="001C4E28"/>
    <w:rsid w:val="001E3570"/>
    <w:rsid w:val="001F5E03"/>
    <w:rsid w:val="001F733C"/>
    <w:rsid w:val="00203426"/>
    <w:rsid w:val="00247534"/>
    <w:rsid w:val="00255955"/>
    <w:rsid w:val="00277AED"/>
    <w:rsid w:val="00283075"/>
    <w:rsid w:val="002C49DF"/>
    <w:rsid w:val="002E736A"/>
    <w:rsid w:val="002F2A01"/>
    <w:rsid w:val="002F3175"/>
    <w:rsid w:val="002F7E83"/>
    <w:rsid w:val="00320BE5"/>
    <w:rsid w:val="0033241B"/>
    <w:rsid w:val="00394D5F"/>
    <w:rsid w:val="003B5593"/>
    <w:rsid w:val="003E2424"/>
    <w:rsid w:val="003E49C0"/>
    <w:rsid w:val="003E5124"/>
    <w:rsid w:val="003F01E1"/>
    <w:rsid w:val="0041139C"/>
    <w:rsid w:val="004B466F"/>
    <w:rsid w:val="004C0A19"/>
    <w:rsid w:val="004C6322"/>
    <w:rsid w:val="00502C01"/>
    <w:rsid w:val="005215B1"/>
    <w:rsid w:val="005275B4"/>
    <w:rsid w:val="005347BE"/>
    <w:rsid w:val="00536B25"/>
    <w:rsid w:val="00556C6B"/>
    <w:rsid w:val="005612CB"/>
    <w:rsid w:val="0056502B"/>
    <w:rsid w:val="0057793A"/>
    <w:rsid w:val="00585E50"/>
    <w:rsid w:val="005A0280"/>
    <w:rsid w:val="005A7C99"/>
    <w:rsid w:val="005B3B5E"/>
    <w:rsid w:val="005E18B1"/>
    <w:rsid w:val="005E4692"/>
    <w:rsid w:val="005F3251"/>
    <w:rsid w:val="00615DE5"/>
    <w:rsid w:val="00657991"/>
    <w:rsid w:val="0066512C"/>
    <w:rsid w:val="00686FC8"/>
    <w:rsid w:val="0068788B"/>
    <w:rsid w:val="006B61E4"/>
    <w:rsid w:val="006D477F"/>
    <w:rsid w:val="006E614B"/>
    <w:rsid w:val="006F345C"/>
    <w:rsid w:val="0071151E"/>
    <w:rsid w:val="00713DBC"/>
    <w:rsid w:val="00756075"/>
    <w:rsid w:val="007C727C"/>
    <w:rsid w:val="00803DBE"/>
    <w:rsid w:val="0080458D"/>
    <w:rsid w:val="008579B6"/>
    <w:rsid w:val="008700F4"/>
    <w:rsid w:val="00877756"/>
    <w:rsid w:val="008B479C"/>
    <w:rsid w:val="008B6DBB"/>
    <w:rsid w:val="008B7E44"/>
    <w:rsid w:val="008D7F56"/>
    <w:rsid w:val="008F08F4"/>
    <w:rsid w:val="00903A84"/>
    <w:rsid w:val="009069FF"/>
    <w:rsid w:val="00913D41"/>
    <w:rsid w:val="00915669"/>
    <w:rsid w:val="00920CE5"/>
    <w:rsid w:val="00922489"/>
    <w:rsid w:val="0093327B"/>
    <w:rsid w:val="00941F0A"/>
    <w:rsid w:val="00952ABF"/>
    <w:rsid w:val="00965C5C"/>
    <w:rsid w:val="009735FC"/>
    <w:rsid w:val="009A6DEE"/>
    <w:rsid w:val="009B04F7"/>
    <w:rsid w:val="009F1BA0"/>
    <w:rsid w:val="00A059D1"/>
    <w:rsid w:val="00A13503"/>
    <w:rsid w:val="00A546AD"/>
    <w:rsid w:val="00A71B82"/>
    <w:rsid w:val="00A77187"/>
    <w:rsid w:val="00A818F5"/>
    <w:rsid w:val="00B044E1"/>
    <w:rsid w:val="00B13B21"/>
    <w:rsid w:val="00B216F0"/>
    <w:rsid w:val="00B34665"/>
    <w:rsid w:val="00B57D95"/>
    <w:rsid w:val="00B6168A"/>
    <w:rsid w:val="00B65F83"/>
    <w:rsid w:val="00B75515"/>
    <w:rsid w:val="00BA4604"/>
    <w:rsid w:val="00BA6FC9"/>
    <w:rsid w:val="00BB26C3"/>
    <w:rsid w:val="00BF3E81"/>
    <w:rsid w:val="00C059F6"/>
    <w:rsid w:val="00C33F9D"/>
    <w:rsid w:val="00C44666"/>
    <w:rsid w:val="00C6091F"/>
    <w:rsid w:val="00C634B1"/>
    <w:rsid w:val="00C66B1C"/>
    <w:rsid w:val="00C869C9"/>
    <w:rsid w:val="00C973DD"/>
    <w:rsid w:val="00CB25FD"/>
    <w:rsid w:val="00CB6BD7"/>
    <w:rsid w:val="00CC033C"/>
    <w:rsid w:val="00CC3D68"/>
    <w:rsid w:val="00CC7467"/>
    <w:rsid w:val="00CD5C39"/>
    <w:rsid w:val="00CE4DB8"/>
    <w:rsid w:val="00D37050"/>
    <w:rsid w:val="00D410A5"/>
    <w:rsid w:val="00D5331D"/>
    <w:rsid w:val="00D66848"/>
    <w:rsid w:val="00DA5088"/>
    <w:rsid w:val="00DD7508"/>
    <w:rsid w:val="00DE675F"/>
    <w:rsid w:val="00DE7D84"/>
    <w:rsid w:val="00EB5AE8"/>
    <w:rsid w:val="00EE78BD"/>
    <w:rsid w:val="00EF5291"/>
    <w:rsid w:val="00F045AF"/>
    <w:rsid w:val="00F23676"/>
    <w:rsid w:val="00F420ED"/>
    <w:rsid w:val="00F45216"/>
    <w:rsid w:val="00F51330"/>
    <w:rsid w:val="00F87392"/>
    <w:rsid w:val="00FC5EC5"/>
    <w:rsid w:val="00FC6263"/>
    <w:rsid w:val="00FD6EDE"/>
    <w:rsid w:val="00FE22B7"/>
    <w:rsid w:val="00FF75B6"/>
    <w:rsid w:val="0261662C"/>
    <w:rsid w:val="04E35A1E"/>
    <w:rsid w:val="06AF5E93"/>
    <w:rsid w:val="07133C6D"/>
    <w:rsid w:val="0AEC6CAF"/>
    <w:rsid w:val="0D642363"/>
    <w:rsid w:val="0D957AD2"/>
    <w:rsid w:val="1158509E"/>
    <w:rsid w:val="14A66FC8"/>
    <w:rsid w:val="15C727F2"/>
    <w:rsid w:val="1695469E"/>
    <w:rsid w:val="169B761A"/>
    <w:rsid w:val="1A2975D8"/>
    <w:rsid w:val="1E4627A5"/>
    <w:rsid w:val="20566C4C"/>
    <w:rsid w:val="207B66B3"/>
    <w:rsid w:val="20983709"/>
    <w:rsid w:val="22630C33"/>
    <w:rsid w:val="27AC5CEC"/>
    <w:rsid w:val="2CC87124"/>
    <w:rsid w:val="2F285C58"/>
    <w:rsid w:val="30004E27"/>
    <w:rsid w:val="3089479E"/>
    <w:rsid w:val="30F878AC"/>
    <w:rsid w:val="34014CC9"/>
    <w:rsid w:val="37C16C4A"/>
    <w:rsid w:val="38112ED5"/>
    <w:rsid w:val="3BAC628D"/>
    <w:rsid w:val="3BB32D4D"/>
    <w:rsid w:val="3C2105FF"/>
    <w:rsid w:val="49B95336"/>
    <w:rsid w:val="4A1B043B"/>
    <w:rsid w:val="4F2002A2"/>
    <w:rsid w:val="4F7E1A0A"/>
    <w:rsid w:val="51E81D8E"/>
    <w:rsid w:val="53373E0C"/>
    <w:rsid w:val="538452A3"/>
    <w:rsid w:val="55C37BD9"/>
    <w:rsid w:val="57B27F05"/>
    <w:rsid w:val="5D107BA8"/>
    <w:rsid w:val="5F8959EF"/>
    <w:rsid w:val="60522285"/>
    <w:rsid w:val="632542F8"/>
    <w:rsid w:val="68737B53"/>
    <w:rsid w:val="6B403D4E"/>
    <w:rsid w:val="6B985938"/>
    <w:rsid w:val="6D45389E"/>
    <w:rsid w:val="6DCF760B"/>
    <w:rsid w:val="6EDC6339"/>
    <w:rsid w:val="723C1C0B"/>
    <w:rsid w:val="729F3877"/>
    <w:rsid w:val="732D105C"/>
    <w:rsid w:val="7434641A"/>
    <w:rsid w:val="79420C91"/>
    <w:rsid w:val="79E43161"/>
    <w:rsid w:val="7AE2272C"/>
    <w:rsid w:val="7B3E36DA"/>
    <w:rsid w:val="7D511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1"/>
    <w:unhideWhenUsed/>
    <w:qFormat/>
    <w:uiPriority w:val="9"/>
    <w:pPr>
      <w:keepNext/>
      <w:keepLines/>
      <w:spacing w:before="260" w:after="260" w:line="416" w:lineRule="auto"/>
      <w:jc w:val="both"/>
      <w:outlineLvl w:val="2"/>
    </w:pPr>
    <w:rPr>
      <w:b/>
      <w:bCs/>
      <w:sz w:val="32"/>
      <w:szCs w:val="32"/>
      <w14:ligatures w14:val="none"/>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pPr>
      <w:spacing w:after="0" w:line="240" w:lineRule="auto"/>
    </w:pPr>
    <w:rPr>
      <w:sz w:val="18"/>
      <w:szCs w:val="18"/>
    </w:rPr>
  </w:style>
  <w:style w:type="paragraph" w:styleId="6">
    <w:name w:val="footer"/>
    <w:basedOn w:val="1"/>
    <w:link w:val="15"/>
    <w:unhideWhenUsed/>
    <w:qFormat/>
    <w:uiPriority w:val="99"/>
    <w:pPr>
      <w:tabs>
        <w:tab w:val="center" w:pos="4153"/>
        <w:tab w:val="right" w:pos="8306"/>
      </w:tabs>
      <w:snapToGrid w:val="0"/>
      <w:spacing w:line="240" w:lineRule="auto"/>
    </w:pPr>
    <w:rPr>
      <w:sz w:val="18"/>
      <w:szCs w:val="18"/>
    </w:rPr>
  </w:style>
  <w:style w:type="paragraph" w:styleId="7">
    <w:name w:val="header"/>
    <w:basedOn w:val="1"/>
    <w:link w:val="14"/>
    <w:unhideWhenUsed/>
    <w:qFormat/>
    <w:uiPriority w:val="99"/>
    <w:pPr>
      <w:tabs>
        <w:tab w:val="center" w:pos="4153"/>
        <w:tab w:val="right" w:pos="8306"/>
      </w:tabs>
      <w:snapToGrid w:val="0"/>
      <w:spacing w:line="240" w:lineRule="auto"/>
      <w:jc w:val="center"/>
    </w:pPr>
    <w:rPr>
      <w:sz w:val="18"/>
      <w:szCs w:val="18"/>
    </w:rPr>
  </w:style>
  <w:style w:type="paragraph" w:styleId="10">
    <w:name w:val="List Paragraph"/>
    <w:basedOn w:val="1"/>
    <w:qFormat/>
    <w:uiPriority w:val="34"/>
    <w:pPr>
      <w:ind w:firstLine="420" w:firstLineChars="200"/>
    </w:pPr>
  </w:style>
  <w:style w:type="character" w:customStyle="1" w:styleId="11">
    <w:name w:val="标题 3 字符"/>
    <w:basedOn w:val="9"/>
    <w:link w:val="4"/>
    <w:qFormat/>
    <w:uiPriority w:val="9"/>
    <w:rPr>
      <w:b/>
      <w:bCs/>
      <w:sz w:val="32"/>
      <w:szCs w:val="32"/>
      <w14:ligatures w14:val="none"/>
    </w:rPr>
  </w:style>
  <w:style w:type="character" w:customStyle="1" w:styleId="12">
    <w:name w:val="标题 2 字符"/>
    <w:basedOn w:val="9"/>
    <w:link w:val="3"/>
    <w:qFormat/>
    <w:uiPriority w:val="9"/>
    <w:rPr>
      <w:rFonts w:asciiTheme="majorHAnsi" w:hAnsiTheme="majorHAnsi" w:eastAsiaTheme="majorEastAsia" w:cstheme="majorBidi"/>
      <w:b/>
      <w:bCs/>
      <w:sz w:val="32"/>
      <w:szCs w:val="32"/>
    </w:rPr>
  </w:style>
  <w:style w:type="character" w:customStyle="1" w:styleId="13">
    <w:name w:val="标题 1 字符"/>
    <w:basedOn w:val="9"/>
    <w:link w:val="2"/>
    <w:qFormat/>
    <w:uiPriority w:val="9"/>
    <w:rPr>
      <w:b/>
      <w:bCs/>
      <w:kern w:val="44"/>
      <w:sz w:val="44"/>
      <w:szCs w:val="44"/>
    </w:rPr>
  </w:style>
  <w:style w:type="character" w:customStyle="1" w:styleId="14">
    <w:name w:val="页眉 字符"/>
    <w:basedOn w:val="9"/>
    <w:link w:val="7"/>
    <w:qFormat/>
    <w:uiPriority w:val="99"/>
    <w:rPr>
      <w:sz w:val="18"/>
      <w:szCs w:val="18"/>
    </w:rPr>
  </w:style>
  <w:style w:type="character" w:customStyle="1" w:styleId="15">
    <w:name w:val="页脚 字符"/>
    <w:basedOn w:val="9"/>
    <w:link w:val="6"/>
    <w:qFormat/>
    <w:uiPriority w:val="99"/>
    <w:rPr>
      <w:sz w:val="18"/>
      <w:szCs w:val="18"/>
    </w:rPr>
  </w:style>
  <w:style w:type="character" w:customStyle="1" w:styleId="16">
    <w:name w:val="批注框文本 字符"/>
    <w:basedOn w:val="9"/>
    <w:link w:val="5"/>
    <w:semiHidden/>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E5400-9CDA-4161-BCD7-156C068DB5FE}">
  <ds:schemaRefs/>
</ds:datastoreItem>
</file>

<file path=docProps/app.xml><?xml version="1.0" encoding="utf-8"?>
<Properties xmlns="http://schemas.openxmlformats.org/officeDocument/2006/extended-properties" xmlns:vt="http://schemas.openxmlformats.org/officeDocument/2006/docPropsVTypes">
  <Template>Normal</Template>
  <Pages>2</Pages>
  <Words>1901</Words>
  <Characters>2199</Characters>
  <Lines>16</Lines>
  <Paragraphs>4</Paragraphs>
  <TotalTime>15</TotalTime>
  <ScaleCrop>false</ScaleCrop>
  <LinksUpToDate>false</LinksUpToDate>
  <CharactersWithSpaces>2237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2025-11-28T01:16:00Z</dcterms:created>
  <dc:creator>chen liang</dc:creator>
  <cp:lastModifiedBy>小奥很</cp:lastModifiedBy>
  <cp:lastPrinted>2026-08-05T07:45:00Z</cp:lastPrinted>
  <dcterms:modified xsi:type="dcterms:W3CDTF">2026-08-17T02:02:11Z</dcterms:modified>
  <cp:revision>498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eyJoZGlkIjoiODU0NzdiYWVlMWEzYjc1ZWY1Nzc2N2VlYmY5ZGY5ZjEiLCJ1c2VySWQiOiI2MzU3OTM1MzQifQ==</vt:lpwstr>
  </property>
  <property fmtid="{D5CDD505-2E9C-101B-9397-08002B2CF9AE}" pid="3" name="KSOProductBuildVer">
    <vt:lpwstr>2052-12.1.0.28043</vt:lpwstr>
  </property>
  <property fmtid="{D5CDD505-2E9C-101B-9397-08002B2CF9AE}" pid="4" name="ICV">
    <vt:lpwstr>5ADA396E1A0E4AEBA27CE974A79BFA63_13</vt:lpwstr>
  </property>
</Properties>
</file>