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2EE8">
      <w:pPr>
        <w:widowControl/>
        <w:spacing w:after="0" w:line="240" w:lineRule="auto"/>
      </w:pPr>
    </w:p>
    <w:tbl>
      <w:tblPr>
        <w:tblStyle w:val="10"/>
        <w:tblW w:w="1018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478"/>
        <w:gridCol w:w="4130"/>
      </w:tblGrid>
      <w:tr w14:paraId="0F4ED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6D891">
            <w:pPr>
              <w:widowControl/>
              <w:spacing w:line="600" w:lineRule="exact"/>
              <w:contextualSpacing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  <w14:ligatures w14:val="none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2F0FB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98FBE71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F91378">
            <w:pPr>
              <w:widowControl/>
              <w:spacing w:line="320" w:lineRule="exact"/>
              <w:contextualSpacing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F36521">
            <w:pPr>
              <w:spacing w:line="320" w:lineRule="exact"/>
              <w:contextualSpacing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网闸设备采购</w:t>
            </w:r>
          </w:p>
        </w:tc>
      </w:tr>
      <w:tr w14:paraId="11F03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AC727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9266C1">
            <w:pPr>
              <w:widowControl/>
              <w:spacing w:line="320" w:lineRule="exact"/>
              <w:contextualSpacing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4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C35416">
            <w:pPr>
              <w:spacing w:line="320" w:lineRule="exact"/>
              <w:contextualSpacing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1台</w:t>
            </w:r>
          </w:p>
        </w:tc>
      </w:tr>
      <w:tr w14:paraId="2EDF9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7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BF195">
            <w:pPr>
              <w:widowControl/>
              <w:spacing w:line="320" w:lineRule="exact"/>
              <w:contextualSpacing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求</w:t>
            </w:r>
          </w:p>
        </w:tc>
        <w:tc>
          <w:tcPr>
            <w:tcW w:w="54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B8CC88">
            <w:pPr>
              <w:widowControl/>
              <w:spacing w:line="320" w:lineRule="exact"/>
              <w:contextualSpacing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4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EC3336">
            <w:pPr>
              <w:widowControl/>
              <w:spacing w:line="320" w:lineRule="exact"/>
              <w:contextualSpacing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</w:tr>
      <w:tr w14:paraId="516E6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6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64E40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D9B30C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 xml:space="preserve">1、内端机10/100/1000Base-T接口≥6个（含1个管理口），千兆光口≥4个，1个扩展槽位；外端机10/100/1000Base-T接口≥6个（含1个HA口），千兆光口≥4个，1个扩展槽位,冗余电源 </w:t>
            </w:r>
          </w:p>
          <w:p w14:paraId="44FA3CF2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2、网络吞吐量≥5Gbps，并发连接数≥30万，延时≤1ms，内外端机各≥16G内存，内外端机各≥</w:t>
            </w:r>
            <w:r>
              <w:rPr>
                <w:rFonts w:hint="eastAsia" w:ascii="宋体" w:hAnsi="宋体"/>
                <w:color w:val="000000"/>
                <w:szCs w:val="22"/>
              </w:rPr>
              <w:t>4G CF卡</w:t>
            </w:r>
          </w:p>
          <w:p w14:paraId="4D39503C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3、提供HTTP页面访问和WEB代理上网功能，支持访问控制日志记录和告警功能。</w:t>
            </w:r>
          </w:p>
          <w:p w14:paraId="28199A01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4、支持http消息头、消息体，上下行方向，命令及关键字的管控，支持允许、阻断、告警三种处理方式。</w:t>
            </w:r>
          </w:p>
          <w:p w14:paraId="46355595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5、内置HTTP安全模块，支持URL过滤引擎、内容过滤引擎、文件过滤引擎、病毒过滤引擎、网页过滤引擎安全防护。</w:t>
            </w:r>
          </w:p>
          <w:p w14:paraId="7E44D6A3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6、提供基于FTP协议和TFTP协议的文件传输功能。支持代理、透明、路由三种接入方式；</w:t>
            </w:r>
          </w:p>
          <w:p w14:paraId="7E87C49A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7、支持访问控制日志记录和告警功能；支持最大活动会话数的统计；支持FTP协议内部命令及数据层内容过滤，支持允许、阻断、告警三种处理方式。</w:t>
            </w:r>
          </w:p>
          <w:p w14:paraId="146F0308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8、</w:t>
            </w:r>
            <w:r>
              <w:rPr>
                <w:rFonts w:hint="eastAsia" w:ascii="宋体" w:hAnsi="宋体"/>
                <w:szCs w:val="21"/>
                <w:lang w:bidi="en-US"/>
              </w:rPr>
              <w:t>支持访问控制策略克隆和根据条件进行搜索查询；支持策略的单独启停控制；支持命中策略规则的报文数量统计。</w:t>
            </w:r>
            <w:r>
              <w:rPr>
                <w:rFonts w:ascii="宋体" w:hAnsi="宋体"/>
                <w:color w:val="000000"/>
                <w:szCs w:val="22"/>
              </w:rPr>
              <w:t>支持IP地址、端口、时间以及基于源用户身份的访问控制策略；</w:t>
            </w:r>
          </w:p>
          <w:p w14:paraId="753EE371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9、支持访问控制日志记录和告警功能；支持最大活动会话数的统计；支持长连接设置；</w:t>
            </w:r>
            <w:r>
              <w:rPr>
                <w:rFonts w:hint="eastAsia" w:ascii="宋体" w:hAnsi="宋体"/>
                <w:color w:val="000000"/>
                <w:szCs w:val="22"/>
              </w:rPr>
              <w:t>支持IPV6扩展头的安全设置。</w:t>
            </w:r>
            <w:r>
              <w:rPr>
                <w:rFonts w:ascii="宋体" w:hAnsi="宋体"/>
                <w:color w:val="000000"/>
                <w:szCs w:val="22"/>
              </w:rPr>
              <w:t>内置数据库安全模块，支持内容过滤引擎，能够对数据库用户名、命令、关键字等内容进行管控，支持允许、阻断、告警三种处理方式。</w:t>
            </w:r>
          </w:p>
          <w:p w14:paraId="05A46356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10、提供有客户端和无客户端两种文件同步方式，客户端支持Windows、Linux操作系统。</w:t>
            </w:r>
          </w:p>
          <w:p w14:paraId="728A1975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11、支持源文件处理策略，包括保留、删除、转存三种处理方式。支持同步删除、文件续传、同步、日志记录开关控制；支持单一任务的线程数和缓冲时间设置，可手动设置同步任务的线程数；支持基于文件大小和文件修改时间的同步策略，可手动指定上下限阈值。支持基于MD5的文件完整性校验。</w:t>
            </w:r>
          </w:p>
          <w:p w14:paraId="4A3FD0F8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12、无客户端方式无需在用户服务器上安装任何插件，网闸不开放任何服务端口；有客户端方式可提供专用文件同步客户端安装在用户服务器上，提供安全的数据库同步服务。</w:t>
            </w:r>
          </w:p>
          <w:p w14:paraId="1BFC822C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13、支持网闸同侧数据库之间的数据同步，网闸可旁路部署实现数据库同步。支持自动读取数据库表名和字段名，无需手动录入表名和字段名，降低配置复杂度。</w:t>
            </w:r>
          </w:p>
          <w:p w14:paraId="13CF1EE0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14、支持数据库同步冲突策略处理，包括覆盖、忽略、以源为准、以目的为准等处理方式。</w:t>
            </w:r>
          </w:p>
          <w:p w14:paraId="75C424C0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15、支持基于URL分类知识库的web网站过滤功能，支持URL知识库的升级</w:t>
            </w:r>
          </w:p>
          <w:p w14:paraId="0E2F52A2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16、采用国内外知名厂商病毒库，支持病毒库升级，并提供后续升级服务</w:t>
            </w:r>
          </w:p>
          <w:p w14:paraId="4D20F5FD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17、支持入侵防御引擎，可基于攻击规则库对主流网络攻击行为进行拦截，支持告警和阻断两种处理方式。支持HTTP攻击类，RPC攻击类，WEBCGI攻击类，拒绝服务类、木马类、蠕虫类等11大类不少于4000条的攻击规则知识库。</w:t>
            </w:r>
          </w:p>
          <w:p w14:paraId="084B4A95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18、提供本地认证功能和第三方认证服务器认证功能。支持认证页面的门户配置，支持认证用户的界面保活，可手动设置保活时间。</w:t>
            </w:r>
          </w:p>
          <w:p w14:paraId="178F926B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19、提供服务器负载均衡功能，支持轮询、加权轮询、最少连接、加权最少连接等负载均衡算法。</w:t>
            </w:r>
          </w:p>
          <w:p w14:paraId="4FD474A7">
            <w:pPr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ascii="宋体" w:hAnsi="宋体"/>
                <w:color w:val="000000"/>
                <w:szCs w:val="22"/>
              </w:rPr>
              <w:t>20、管理端通过独立的管理口与网闸内端机相连，策略统一从内端机下发，不允许采用外端机上的任何网络接口进行管理。</w:t>
            </w:r>
          </w:p>
          <w:p w14:paraId="04871141">
            <w:pPr>
              <w:shd w:val="clear"/>
              <w:spacing w:line="280" w:lineRule="exact"/>
              <w:contextualSpacing/>
              <w:rPr>
                <w:rFonts w:ascii="宋体" w:hAnsi="宋体"/>
                <w:color w:val="000000"/>
                <w:szCs w:val="22"/>
                <w:highlight w:val="none"/>
              </w:rPr>
            </w:pPr>
            <w:r>
              <w:rPr>
                <w:rFonts w:ascii="宋体" w:hAnsi="宋体"/>
                <w:color w:val="000000"/>
                <w:szCs w:val="22"/>
              </w:rPr>
              <w:t>21</w:t>
            </w:r>
            <w:r>
              <w:rPr>
                <w:rFonts w:ascii="宋体" w:hAnsi="宋体"/>
                <w:color w:val="000000"/>
                <w:szCs w:val="22"/>
                <w:highlight w:val="none"/>
              </w:rPr>
              <w:t>、提供ping、traceroute、tcp、http、dns等诊断诊断测试工具，支持设备健康记录和调试信息的导出。</w:t>
            </w:r>
          </w:p>
          <w:p w14:paraId="10926DC2">
            <w:pPr>
              <w:shd w:val="clear"/>
              <w:spacing w:line="280" w:lineRule="exact"/>
              <w:contextualSpacing/>
              <w:rPr>
                <w:rFonts w:ascii="宋体" w:hAnsi="宋体"/>
                <w:color w:val="000000"/>
                <w:szCs w:val="22"/>
                <w:highlight w:val="none"/>
              </w:rPr>
            </w:pPr>
            <w:r>
              <w:rPr>
                <w:rFonts w:ascii="宋体" w:hAnsi="宋体"/>
                <w:color w:val="000000"/>
                <w:szCs w:val="22"/>
                <w:highlight w:val="none"/>
              </w:rPr>
              <w:t>22、网络关键设备和网络安全专用产品安全认证证书</w:t>
            </w:r>
          </w:p>
          <w:p w14:paraId="3279F4CB">
            <w:pPr>
              <w:shd w:val="clear"/>
              <w:spacing w:line="280" w:lineRule="exact"/>
              <w:contextualSpacing/>
              <w:rPr>
                <w:rFonts w:ascii="宋体" w:hAnsi="宋体"/>
                <w:color w:val="000000"/>
                <w:szCs w:val="22"/>
                <w:highlight w:val="none"/>
              </w:rPr>
            </w:pPr>
            <w:r>
              <w:rPr>
                <w:rFonts w:ascii="宋体" w:hAnsi="宋体"/>
                <w:color w:val="000000"/>
                <w:szCs w:val="22"/>
                <w:highlight w:val="none"/>
              </w:rPr>
              <w:t>23、中国网络安全审查技术与认证中心 IT产品信息安全认证证书（EAL4+）</w:t>
            </w:r>
          </w:p>
          <w:p w14:paraId="227D215B">
            <w:pPr>
              <w:shd w:val="clear"/>
              <w:spacing w:line="280" w:lineRule="exact"/>
              <w:contextualSpacing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  <w:highlight w:val="none"/>
              </w:rPr>
              <w:t>24、</w:t>
            </w:r>
            <w:r>
              <w:rPr>
                <w:rFonts w:ascii="宋体" w:hAnsi="宋体"/>
                <w:szCs w:val="21"/>
                <w:highlight w:val="none"/>
              </w:rPr>
              <w:t>IPv6 Ready Logo 认证证书</w:t>
            </w:r>
          </w:p>
        </w:tc>
        <w:tc>
          <w:tcPr>
            <w:tcW w:w="413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2AFA06">
            <w:pPr>
              <w:ind w:firstLine="440" w:firstLineChars="200"/>
            </w:pPr>
            <w:r>
              <w:t>提供 7×24 小时服务</w:t>
            </w:r>
            <w:bookmarkStart w:id="0" w:name="_GoBack"/>
            <w:bookmarkEnd w:id="0"/>
            <w:r>
              <w:t>热线支持，厂家承诺 5 年免费维保服务，含每年不少于四次的设备详细巡检；若因设备本身问题导致业务中断，</w:t>
            </w:r>
            <w:r>
              <w:rPr>
                <w:rFonts w:hint="eastAsia"/>
              </w:rPr>
              <w:t>需</w:t>
            </w:r>
            <w:r>
              <w:t>确保 8 小时内完成故障修复。</w:t>
            </w:r>
          </w:p>
        </w:tc>
      </w:tr>
      <w:tr w14:paraId="4E46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12A32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8D855E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C07D54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065E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28476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96C06D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6D03AD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668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F937F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D4E46F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760869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BC43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53F23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4692AF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B2B146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AF88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7071B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BC95E3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D4903B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01A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849DB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2567E2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606C87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2D98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0E9F1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8B1518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BBC7D3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289F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6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DA4D2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CAA1E5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3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39D76A">
            <w:pPr>
              <w:widowControl/>
              <w:spacing w:line="320" w:lineRule="exact"/>
              <w:contextualSpacing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67F87360"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E5"/>
    <w:rsid w:val="000062BD"/>
    <w:rsid w:val="00034C5B"/>
    <w:rsid w:val="00071DB8"/>
    <w:rsid w:val="000B2393"/>
    <w:rsid w:val="000B2AD2"/>
    <w:rsid w:val="000C423C"/>
    <w:rsid w:val="000E4F91"/>
    <w:rsid w:val="000F5168"/>
    <w:rsid w:val="00144436"/>
    <w:rsid w:val="00150263"/>
    <w:rsid w:val="001A4498"/>
    <w:rsid w:val="001F5E03"/>
    <w:rsid w:val="00245A57"/>
    <w:rsid w:val="00247534"/>
    <w:rsid w:val="00252FF7"/>
    <w:rsid w:val="00277AED"/>
    <w:rsid w:val="00283075"/>
    <w:rsid w:val="002B0C9B"/>
    <w:rsid w:val="002E736A"/>
    <w:rsid w:val="002F2A01"/>
    <w:rsid w:val="00300589"/>
    <w:rsid w:val="0030266A"/>
    <w:rsid w:val="00320BE5"/>
    <w:rsid w:val="0033241B"/>
    <w:rsid w:val="003B5593"/>
    <w:rsid w:val="003E49C0"/>
    <w:rsid w:val="003F01E1"/>
    <w:rsid w:val="0041139C"/>
    <w:rsid w:val="00463F1C"/>
    <w:rsid w:val="0048117F"/>
    <w:rsid w:val="00490E1F"/>
    <w:rsid w:val="004A5F32"/>
    <w:rsid w:val="004B71CD"/>
    <w:rsid w:val="004C0A19"/>
    <w:rsid w:val="004F1385"/>
    <w:rsid w:val="00502C01"/>
    <w:rsid w:val="00515422"/>
    <w:rsid w:val="005215B1"/>
    <w:rsid w:val="00556C6B"/>
    <w:rsid w:val="005612CB"/>
    <w:rsid w:val="00563136"/>
    <w:rsid w:val="00585E50"/>
    <w:rsid w:val="00592ED4"/>
    <w:rsid w:val="005A0280"/>
    <w:rsid w:val="005B3B5E"/>
    <w:rsid w:val="005E4692"/>
    <w:rsid w:val="00615DE5"/>
    <w:rsid w:val="00617AEF"/>
    <w:rsid w:val="006205FC"/>
    <w:rsid w:val="006572E2"/>
    <w:rsid w:val="00657991"/>
    <w:rsid w:val="00686A75"/>
    <w:rsid w:val="006C5595"/>
    <w:rsid w:val="006D477F"/>
    <w:rsid w:val="006E614B"/>
    <w:rsid w:val="00724845"/>
    <w:rsid w:val="00763CA8"/>
    <w:rsid w:val="00765F81"/>
    <w:rsid w:val="00766DD0"/>
    <w:rsid w:val="007C727C"/>
    <w:rsid w:val="0080458D"/>
    <w:rsid w:val="00832EEB"/>
    <w:rsid w:val="008501DF"/>
    <w:rsid w:val="00856B28"/>
    <w:rsid w:val="008700F4"/>
    <w:rsid w:val="008B479C"/>
    <w:rsid w:val="008B7E44"/>
    <w:rsid w:val="008C454E"/>
    <w:rsid w:val="008D2CDA"/>
    <w:rsid w:val="00903A84"/>
    <w:rsid w:val="00915669"/>
    <w:rsid w:val="0093327B"/>
    <w:rsid w:val="00967117"/>
    <w:rsid w:val="009735FC"/>
    <w:rsid w:val="009B04F7"/>
    <w:rsid w:val="009C7878"/>
    <w:rsid w:val="00A059D1"/>
    <w:rsid w:val="00A078BB"/>
    <w:rsid w:val="00A36F99"/>
    <w:rsid w:val="00A720A5"/>
    <w:rsid w:val="00A818F5"/>
    <w:rsid w:val="00B104F7"/>
    <w:rsid w:val="00B13B21"/>
    <w:rsid w:val="00B216F0"/>
    <w:rsid w:val="00B261F3"/>
    <w:rsid w:val="00B6168A"/>
    <w:rsid w:val="00B75515"/>
    <w:rsid w:val="00B82B38"/>
    <w:rsid w:val="00B9344D"/>
    <w:rsid w:val="00BA6FC9"/>
    <w:rsid w:val="00C10DCF"/>
    <w:rsid w:val="00C16A36"/>
    <w:rsid w:val="00C1748F"/>
    <w:rsid w:val="00C44666"/>
    <w:rsid w:val="00C6091F"/>
    <w:rsid w:val="00CC7467"/>
    <w:rsid w:val="00D0058C"/>
    <w:rsid w:val="00D37050"/>
    <w:rsid w:val="00D64A7B"/>
    <w:rsid w:val="00DA5088"/>
    <w:rsid w:val="00DC0F41"/>
    <w:rsid w:val="00DD7508"/>
    <w:rsid w:val="00DE7D84"/>
    <w:rsid w:val="00E10C43"/>
    <w:rsid w:val="00E3643D"/>
    <w:rsid w:val="00E6388D"/>
    <w:rsid w:val="00EA7352"/>
    <w:rsid w:val="00EB5AE8"/>
    <w:rsid w:val="00EE0C08"/>
    <w:rsid w:val="00EE78BD"/>
    <w:rsid w:val="00F07717"/>
    <w:rsid w:val="00FC6263"/>
    <w:rsid w:val="00FD6EDE"/>
    <w:rsid w:val="00FE22B7"/>
    <w:rsid w:val="00FE6C31"/>
    <w:rsid w:val="06B2268F"/>
    <w:rsid w:val="14CC240E"/>
    <w:rsid w:val="26DC4D6E"/>
    <w:rsid w:val="29661954"/>
    <w:rsid w:val="29C30D6E"/>
    <w:rsid w:val="33ED7B5B"/>
    <w:rsid w:val="38C31508"/>
    <w:rsid w:val="3EE764B0"/>
    <w:rsid w:val="442E425D"/>
    <w:rsid w:val="454A4D79"/>
    <w:rsid w:val="4BCA04E6"/>
    <w:rsid w:val="5B2855C7"/>
    <w:rsid w:val="6AB21AFA"/>
    <w:rsid w:val="6DE5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jc w:val="both"/>
      <w:outlineLvl w:val="2"/>
    </w:pPr>
    <w:rPr>
      <w:b/>
      <w:bCs/>
      <w:sz w:val="32"/>
      <w:szCs w:val="32"/>
      <w14:ligatures w14:val="none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</w:style>
  <w:style w:type="paragraph" w:styleId="6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3 字符"/>
    <w:basedOn w:val="11"/>
    <w:link w:val="4"/>
    <w:qFormat/>
    <w:uiPriority w:val="9"/>
    <w:rPr>
      <w:b/>
      <w:bCs/>
      <w:sz w:val="32"/>
      <w:szCs w:val="32"/>
      <w14:ligatures w14:val="none"/>
    </w:rPr>
  </w:style>
  <w:style w:type="character" w:customStyle="1" w:styleId="15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9">
    <w:name w:val="批注文字 字符"/>
    <w:basedOn w:val="11"/>
    <w:link w:val="5"/>
    <w:semiHidden/>
    <w:qFormat/>
    <w:uiPriority w:val="99"/>
  </w:style>
  <w:style w:type="character" w:customStyle="1" w:styleId="20">
    <w:name w:val="批注主题 字符"/>
    <w:basedOn w:val="19"/>
    <w:link w:val="9"/>
    <w:semiHidden/>
    <w:qFormat/>
    <w:uiPriority w:val="99"/>
    <w:rPr>
      <w:b/>
      <w:bCs/>
    </w:rPr>
  </w:style>
  <w:style w:type="character" w:customStyle="1" w:styleId="21">
    <w:name w:val="批注框文本 字符"/>
    <w:basedOn w:val="11"/>
    <w:link w:val="6"/>
    <w:semiHidden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082C6-9401-42A4-B76C-BC3DDBD99E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1622</Words>
  <Characters>1780</Characters>
  <Lines>13</Lines>
  <Paragraphs>3</Paragraphs>
  <TotalTime>65</TotalTime>
  <ScaleCrop>false</ScaleCrop>
  <LinksUpToDate>false</LinksUpToDate>
  <CharactersWithSpaces>1822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2025-11-28T01:16:00Z</dcterms:created>
  <dc:creator>chen liang</dc:creator>
  <cp:lastModifiedBy>小奥很</cp:lastModifiedBy>
  <cp:lastPrinted>2025-12-05T02:02:00Z</cp:lastPrinted>
  <dcterms:modified xsi:type="dcterms:W3CDTF">2026-08-17T02:13:58Z</dcterms:modified>
  <cp:revision>446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eyJoZGlkIjoiODU0NzdiYWVlMWEzYjc1ZWY1Nzc2N2VlYmY5ZGY5ZjEiLCJ1c2VySWQiOiI2MzU3OTM1MzQifQ==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4E22A6161ADB4B5C9D4D143F56711F09_13</vt:lpwstr>
  </property>
</Properties>
</file>