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323" w:type="dxa"/>
        <w:jc w:val="center"/>
        <w:tblLayout w:type="autofit"/>
        <w:tblCellMar>
          <w:top w:w="0" w:type="dxa"/>
          <w:left w:w="108" w:type="dxa"/>
          <w:bottom w:w="0" w:type="dxa"/>
          <w:right w:w="108" w:type="dxa"/>
        </w:tblCellMar>
      </w:tblPr>
      <w:tblGrid>
        <w:gridCol w:w="1256"/>
        <w:gridCol w:w="2281"/>
        <w:gridCol w:w="6786"/>
      </w:tblGrid>
      <w:tr>
        <w:tblPrEx>
          <w:tblCellMar>
            <w:top w:w="0" w:type="dxa"/>
            <w:left w:w="108" w:type="dxa"/>
            <w:bottom w:w="0" w:type="dxa"/>
            <w:right w:w="108" w:type="dxa"/>
          </w:tblCellMar>
        </w:tblPrEx>
        <w:trPr>
          <w:trHeight w:val="1885" w:hRule="atLeast"/>
          <w:jc w:val="center"/>
        </w:trPr>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textAlignment w:val="center"/>
              <w:rPr>
                <w:rFonts w:ascii="宋体" w:hAnsi="宋体"/>
                <w:b/>
                <w:bCs/>
                <w:color w:val="000000"/>
                <w:sz w:val="32"/>
                <w:szCs w:val="32"/>
              </w:rPr>
            </w:pPr>
            <w:bookmarkStart w:id="2" w:name="_GoBack"/>
            <w:bookmarkEnd w:id="2"/>
            <w:r>
              <w:rPr>
                <w:rFonts w:hint="eastAsia" w:ascii="宋体" w:hAnsi="宋体"/>
                <w:b/>
                <w:bCs/>
                <w:color w:val="000000"/>
                <w:spacing w:val="43"/>
                <w:kern w:val="0"/>
                <w:sz w:val="28"/>
                <w:szCs w:val="28"/>
                <w:fitText w:val="1360" w:id="0"/>
              </w:rPr>
              <w:t>参数需</w:t>
            </w:r>
            <w:r>
              <w:rPr>
                <w:rFonts w:hint="eastAsia" w:ascii="宋体" w:hAnsi="宋体"/>
                <w:b/>
                <w:bCs/>
                <w:color w:val="000000"/>
                <w:kern w:val="0"/>
                <w:sz w:val="28"/>
                <w:szCs w:val="28"/>
                <w:fitText w:val="1360" w:id="0"/>
              </w:rPr>
              <w:t>求</w:t>
            </w:r>
          </w:p>
        </w:tc>
        <w:tc>
          <w:tcPr>
            <w:tcW w:w="2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kern w:val="0"/>
                <w:sz w:val="24"/>
              </w:rPr>
            </w:pPr>
            <w:r>
              <w:rPr>
                <w:rFonts w:hint="eastAsia" w:ascii="宋体" w:hAnsi="宋体"/>
                <w:color w:val="000000"/>
                <w:kern w:val="0"/>
                <w:sz w:val="24"/>
              </w:rPr>
              <w:t>配置需求</w:t>
            </w:r>
          </w:p>
        </w:tc>
        <w:tc>
          <w:tcPr>
            <w:tcW w:w="678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1"/>
              </w:numPr>
              <w:spacing w:line="360" w:lineRule="auto"/>
              <w:rPr>
                <w:rFonts w:ascii="Times New Roman" w:hAnsi="Times New Roman"/>
                <w:b/>
                <w:bCs/>
                <w:szCs w:val="21"/>
                <w:lang w:val="en-GB"/>
              </w:rPr>
            </w:pPr>
            <w:r>
              <w:rPr>
                <w:rFonts w:hint="eastAsia" w:ascii="Times New Roman" w:hAnsi="Times New Roman"/>
                <w:b/>
                <w:bCs/>
                <w:szCs w:val="21"/>
                <w:lang w:val="en-GB"/>
              </w:rPr>
              <w:t>办公网络和终端设备服务内容</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6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jc w:val="left"/>
                    <w:rPr>
                      <w:rFonts w:ascii="宋体" w:hAnsi="宋体"/>
                      <w:b/>
                      <w:bCs/>
                      <w:color w:val="000000"/>
                      <w:szCs w:val="21"/>
                    </w:rPr>
                  </w:pPr>
                  <w:r>
                    <w:rPr>
                      <w:rFonts w:hint="eastAsia" w:ascii="宋体" w:hAnsi="宋体"/>
                      <w:b/>
                      <w:bCs/>
                      <w:color w:val="000000"/>
                      <w:szCs w:val="21"/>
                    </w:rPr>
                    <w:t>序号</w:t>
                  </w:r>
                </w:p>
              </w:tc>
              <w:tc>
                <w:tcPr>
                  <w:tcW w:w="4595" w:type="pct"/>
                  <w:vAlign w:val="center"/>
                </w:tcPr>
                <w:p>
                  <w:pPr>
                    <w:widowControl/>
                    <w:jc w:val="left"/>
                    <w:rPr>
                      <w:rFonts w:ascii="宋体" w:hAnsi="宋体"/>
                      <w:b/>
                      <w:bCs/>
                      <w:color w:val="000000"/>
                      <w:szCs w:val="21"/>
                    </w:rPr>
                  </w:pPr>
                  <w:r>
                    <w:rPr>
                      <w:rFonts w:hint="eastAsia" w:ascii="宋体" w:hAnsi="宋体"/>
                      <w:b/>
                      <w:bCs/>
                      <w:color w:val="000000"/>
                      <w:szCs w:val="21"/>
                    </w:rPr>
                    <w:t>服务内容列表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服务器设备维护并提供备件服务。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云平台维护及补丁更新和升级服务。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安全标签系统的运维和管理，及新设备标签，新节点的更新与维护服务。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设备监控系统的运行维护和故障处理。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身份认证系统的更新，维护和运维管理，策略的配置与调整。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域名解析系统的维护与更新。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DHCP系统的维护与更新。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日志系统的管理与维护。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互联网防火墙设备的维护与管理，策略优化，故障排查，提供本防火墙设备（深信服</w:t>
                  </w:r>
                  <w:r>
                    <w:rPr>
                      <w:rFonts w:ascii="宋体" w:hAnsi="宋体"/>
                      <w:szCs w:val="21"/>
                    </w:rPr>
                    <w:t>AF-1000-B1810</w:t>
                  </w:r>
                  <w:r>
                    <w:rPr>
                      <w:rFonts w:hint="eastAsia" w:ascii="宋体" w:hAnsi="宋体"/>
                      <w:color w:val="000000"/>
                      <w:szCs w:val="21"/>
                    </w:rPr>
                    <w:t>）从签订合同之日起为期1年的云智订阅服务 的订阅授权以及设备故障保修服务。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上网行为管理的维护与管理，策略优化，故障排查。提供本上网行为管理设备（天融信</w:t>
                  </w:r>
                  <w:r>
                    <w:rPr>
                      <w:rFonts w:ascii="宋体" w:hAnsi="宋体"/>
                      <w:szCs w:val="21"/>
                    </w:rPr>
                    <w:t>topacm 5000</w:t>
                  </w:r>
                  <w:r>
                    <w:rPr>
                      <w:rFonts w:hint="eastAsia" w:ascii="宋体" w:hAnsi="宋体"/>
                      <w:color w:val="000000"/>
                      <w:szCs w:val="21"/>
                    </w:rPr>
                    <w:t>）从签订合同之日起为期1年的软件订阅服务</w:t>
                  </w:r>
                  <w:r>
                    <w:rPr>
                      <w:rFonts w:ascii="宋体" w:hAnsi="宋体"/>
                      <w:color w:val="000000"/>
                      <w:szCs w:val="21"/>
                    </w:rPr>
                    <w:t>(</w:t>
                  </w:r>
                  <w:r>
                    <w:rPr>
                      <w:rFonts w:hint="eastAsia" w:ascii="宋体" w:hAnsi="宋体"/>
                      <w:color w:val="000000"/>
                      <w:szCs w:val="21"/>
                    </w:rPr>
                    <w:t>含过期部分</w:t>
                  </w:r>
                  <w:r>
                    <w:rPr>
                      <w:rFonts w:ascii="宋体" w:hAnsi="宋体"/>
                      <w:color w:val="000000"/>
                      <w:szCs w:val="21"/>
                    </w:rPr>
                    <w:t>)</w:t>
                  </w:r>
                  <w:r>
                    <w:rPr>
                      <w:rFonts w:hint="eastAsia" w:ascii="宋体" w:hAnsi="宋体"/>
                      <w:color w:val="000000"/>
                      <w:szCs w:val="21"/>
                    </w:rPr>
                    <w:t>的订阅授权以及设备故障保修服务。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安全网关的维护与管理，策略优化，故障排查。提供本网闸设备（奇安信</w:t>
                  </w:r>
                  <w:r>
                    <w:rPr>
                      <w:rFonts w:ascii="宋体" w:hAnsi="宋体"/>
                      <w:szCs w:val="21"/>
                    </w:rPr>
                    <w:t>G6150-C021</w:t>
                  </w:r>
                  <w:r>
                    <w:rPr>
                      <w:rFonts w:hint="eastAsia" w:ascii="宋体" w:hAnsi="宋体"/>
                      <w:color w:val="000000"/>
                      <w:szCs w:val="21"/>
                    </w:rPr>
                    <w:t>）U-KEY产品授权以及设备故障保修服务。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专用路由器的维护与管理，策略优化，故障排查，与各院区，各系统的对接与维护。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核心网络交换机的维护与管理，策略优化，故障排查，定期的故障恢复测试。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所有楼层的接入交换机的维护与管理，策略优化，故障排查。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整体网络的监控，运维，配置，故障问题处理，流量优化处理。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院区网络隔离访问及相关安全策略的访问控制。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院区内办公设备的配置和维护，办公电脑，打印机等维护。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院区内的无线网络运维与管控。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院区内网络安全，防病毒安全系统的运行与维护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院区内其他系统上线的对接和维护。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互联网网络的质量监控和管理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所有楼层办公区RJ</w:t>
                  </w:r>
                  <w:r>
                    <w:rPr>
                      <w:rFonts w:ascii="宋体" w:hAnsi="宋体"/>
                      <w:color w:val="000000"/>
                      <w:szCs w:val="21"/>
                    </w:rPr>
                    <w:t>45</w:t>
                  </w:r>
                  <w:r>
                    <w:rPr>
                      <w:rFonts w:hint="eastAsia" w:ascii="宋体" w:hAnsi="宋体"/>
                      <w:color w:val="000000"/>
                      <w:szCs w:val="21"/>
                    </w:rPr>
                    <w:t>面板的安装和维护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驻场运维人员需针对所有网络设备开发一套配置管理系统，实现所有网络设备的定期配置备份。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1年期</w:t>
                  </w:r>
                  <w:r>
                    <w:rPr>
                      <w:rFonts w:ascii="宋体" w:hAnsi="宋体"/>
                      <w:color w:val="000000"/>
                      <w:szCs w:val="21"/>
                    </w:rPr>
                    <w:t>网络边界威胁防护服务</w:t>
                  </w:r>
                  <w:r>
                    <w:rPr>
                      <w:rFonts w:hint="eastAsia" w:ascii="宋体" w:hAnsi="宋体"/>
                      <w:color w:val="000000"/>
                      <w:szCs w:val="21"/>
                    </w:rPr>
                    <w:t>，具体要求见</w:t>
                  </w:r>
                  <w:r>
                    <w:rPr>
                      <w:rFonts w:hint="eastAsia" w:ascii="宋体" w:hAnsi="宋体"/>
                      <w:b/>
                      <w:bCs/>
                      <w:color w:val="000000"/>
                      <w:szCs w:val="21"/>
                    </w:rPr>
                    <w:t>第四部分</w:t>
                  </w:r>
                  <w:r>
                    <w:rPr>
                      <w:rFonts w:hint="eastAsia" w:ascii="宋体" w:hAnsi="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4" w:type="pct"/>
                  <w:vAlign w:val="center"/>
                </w:tcPr>
                <w:p>
                  <w:pPr>
                    <w:widowControl/>
                    <w:numPr>
                      <w:ilvl w:val="0"/>
                      <w:numId w:val="2"/>
                    </w:numPr>
                    <w:jc w:val="left"/>
                    <w:rPr>
                      <w:rFonts w:ascii="宋体" w:hAnsi="宋体"/>
                      <w:color w:val="000000"/>
                      <w:szCs w:val="21"/>
                    </w:rPr>
                  </w:pPr>
                </w:p>
              </w:tc>
              <w:tc>
                <w:tcPr>
                  <w:tcW w:w="4595" w:type="pct"/>
                  <w:vAlign w:val="center"/>
                </w:tcPr>
                <w:p>
                  <w:pPr>
                    <w:widowControl/>
                    <w:jc w:val="left"/>
                    <w:rPr>
                      <w:rFonts w:ascii="宋体" w:hAnsi="宋体"/>
                      <w:color w:val="000000"/>
                      <w:szCs w:val="21"/>
                    </w:rPr>
                  </w:pPr>
                  <w:r>
                    <w:rPr>
                      <w:rFonts w:hint="eastAsia" w:ascii="宋体" w:hAnsi="宋体"/>
                      <w:color w:val="000000"/>
                      <w:szCs w:val="21"/>
                    </w:rPr>
                    <w:t>日常工作不限于：所有设备的配置变更，安全策略、路由策略的配置及优化，设备配置和数据的备份，办公电脑、办公网络、打印机、投影仪、会议室设备的维护和配置，定期巡检并出具详细的巡检报告，院区领导安排的其他维护和支持工作，服务器配置、操作系统、网络安全设备配置、AI算力服务器等相关工作。</w:t>
                  </w:r>
                </w:p>
              </w:tc>
            </w:tr>
          </w:tbl>
          <w:p>
            <w:pPr>
              <w:numPr>
                <w:ilvl w:val="0"/>
                <w:numId w:val="1"/>
              </w:numPr>
              <w:spacing w:line="360" w:lineRule="auto"/>
              <w:rPr>
                <w:rFonts w:ascii="Times New Roman" w:hAnsi="Times New Roman"/>
                <w:b/>
                <w:bCs/>
                <w:szCs w:val="21"/>
              </w:rPr>
            </w:pPr>
            <w:r>
              <w:rPr>
                <w:rFonts w:hint="eastAsia" w:ascii="Times New Roman" w:hAnsi="Times New Roman"/>
                <w:b/>
                <w:bCs/>
                <w:szCs w:val="21"/>
              </w:rPr>
              <w:t>备品备件服务</w:t>
            </w:r>
          </w:p>
          <w:p>
            <w:pPr>
              <w:adjustRightInd w:val="0"/>
              <w:snapToGrid w:val="0"/>
              <w:spacing w:line="360" w:lineRule="atLeast"/>
              <w:ind w:firstLine="420" w:firstLineChars="200"/>
              <w:jc w:val="left"/>
              <w:textAlignment w:val="baseline"/>
              <w:rPr>
                <w:rFonts w:ascii="宋体" w:hAnsi="宋体" w:cs="Times New Roman"/>
                <w:kern w:val="0"/>
                <w:szCs w:val="21"/>
              </w:rPr>
            </w:pPr>
            <w:r>
              <w:rPr>
                <w:rFonts w:hint="eastAsia" w:ascii="宋体" w:hAnsi="宋体" w:cs="Times New Roman"/>
                <w:kern w:val="0"/>
                <w:szCs w:val="21"/>
              </w:rPr>
              <w:t>为保障出现硬件故障后备件更换的速度和效率，尽可能降低对系统正常运行的影响，缩短重大故障情况下恢复系统的时间，中标供应商在签订合同后15个工作日内在采购人现场放置以下常规备品备件：</w:t>
            </w:r>
          </w:p>
          <w:tbl>
            <w:tblPr>
              <w:tblStyle w:val="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7"/>
              <w:gridCol w:w="5012"/>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pct"/>
                  <w:tcBorders>
                    <w:top w:val="single" w:color="000000" w:sz="4" w:space="0"/>
                    <w:left w:val="single" w:color="000000" w:sz="4" w:space="0"/>
                    <w:bottom w:val="single" w:color="000000" w:sz="4" w:space="0"/>
                    <w:right w:val="single" w:color="000000" w:sz="4" w:space="0"/>
                  </w:tcBorders>
                </w:tcPr>
                <w:p>
                  <w:pPr>
                    <w:adjustRightInd w:val="0"/>
                    <w:snapToGrid w:val="0"/>
                    <w:spacing w:line="360" w:lineRule="atLeast"/>
                    <w:ind w:right="-83"/>
                    <w:jc w:val="left"/>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序号</w:t>
                  </w:r>
                </w:p>
              </w:tc>
              <w:tc>
                <w:tcPr>
                  <w:tcW w:w="3819" w:type="pct"/>
                  <w:tcBorders>
                    <w:top w:val="single" w:color="000000" w:sz="4" w:space="0"/>
                    <w:left w:val="single" w:color="000000" w:sz="4" w:space="0"/>
                    <w:bottom w:val="single" w:color="000000" w:sz="4" w:space="0"/>
                    <w:right w:val="single" w:color="000000" w:sz="4" w:space="0"/>
                  </w:tcBorders>
                </w:tcPr>
                <w:p>
                  <w:pPr>
                    <w:adjustRightInd w:val="0"/>
                    <w:snapToGrid w:val="0"/>
                    <w:spacing w:line="360" w:lineRule="atLeast"/>
                    <w:ind w:right="-83" w:firstLine="431" w:firstLineChars="226"/>
                    <w:jc w:val="left"/>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备品备件名称</w:t>
                  </w:r>
                </w:p>
              </w:tc>
              <w:tc>
                <w:tcPr>
                  <w:tcW w:w="648" w:type="pct"/>
                  <w:tcBorders>
                    <w:top w:val="single" w:color="000000" w:sz="4" w:space="0"/>
                    <w:left w:val="single" w:color="000000" w:sz="4" w:space="0"/>
                    <w:bottom w:val="single" w:color="000000" w:sz="4" w:space="0"/>
                    <w:right w:val="single" w:color="000000" w:sz="4" w:space="0"/>
                  </w:tcBorders>
                </w:tcPr>
                <w:p>
                  <w:pPr>
                    <w:adjustRightInd w:val="0"/>
                    <w:snapToGrid w:val="0"/>
                    <w:spacing w:line="360" w:lineRule="atLeast"/>
                    <w:ind w:right="-83"/>
                    <w:jc w:val="left"/>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w:t>
                  </w:r>
                </w:p>
              </w:tc>
              <w:tc>
                <w:tcPr>
                  <w:tcW w:w="3819"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Dell</w:t>
                  </w:r>
                  <w:r>
                    <w:rPr>
                      <w:rFonts w:ascii="宋体" w:hAnsi="宋体" w:cs="Times New Roman"/>
                      <w:kern w:val="0"/>
                      <w:szCs w:val="21"/>
                    </w:rPr>
                    <w:t xml:space="preserve"> </w:t>
                  </w:r>
                  <w:r>
                    <w:rPr>
                      <w:rFonts w:hint="eastAsia" w:ascii="宋体" w:hAnsi="宋体" w:cs="Times New Roman"/>
                      <w:kern w:val="0"/>
                      <w:szCs w:val="21"/>
                    </w:rPr>
                    <w:t>R</w:t>
                  </w:r>
                  <w:r>
                    <w:rPr>
                      <w:rFonts w:ascii="宋体" w:hAnsi="宋体" w:cs="Times New Roman"/>
                      <w:kern w:val="0"/>
                      <w:szCs w:val="21"/>
                    </w:rPr>
                    <w:t>740</w:t>
                  </w:r>
                  <w:r>
                    <w:rPr>
                      <w:rFonts w:hint="eastAsia" w:ascii="宋体" w:hAnsi="宋体" w:cs="Times New Roman"/>
                      <w:kern w:val="0"/>
                      <w:szCs w:val="21"/>
                    </w:rPr>
                    <w:t>服务器一台，不少于4</w:t>
                  </w:r>
                  <w:r>
                    <w:rPr>
                      <w:rFonts w:ascii="宋体" w:hAnsi="宋体" w:cs="Times New Roman"/>
                      <w:kern w:val="0"/>
                      <w:szCs w:val="21"/>
                    </w:rPr>
                    <w:t>0</w:t>
                  </w:r>
                  <w:r>
                    <w:rPr>
                      <w:rFonts w:hint="eastAsia" w:ascii="宋体" w:hAnsi="宋体" w:cs="Times New Roman"/>
                      <w:kern w:val="0"/>
                      <w:szCs w:val="21"/>
                    </w:rPr>
                    <w:t>核心，可用容量不少于2</w:t>
                  </w:r>
                  <w:r>
                    <w:rPr>
                      <w:rFonts w:ascii="宋体" w:hAnsi="宋体" w:cs="Times New Roman"/>
                      <w:kern w:val="0"/>
                      <w:szCs w:val="21"/>
                    </w:rPr>
                    <w:t>0</w:t>
                  </w:r>
                  <w:r>
                    <w:rPr>
                      <w:rFonts w:hint="eastAsia" w:ascii="宋体" w:hAnsi="宋体" w:cs="Times New Roman"/>
                      <w:kern w:val="0"/>
                      <w:szCs w:val="21"/>
                    </w:rPr>
                    <w:t>T可用，为现有系统作为备机使用。必要时提供系统恢复机重建。</w:t>
                  </w:r>
                </w:p>
              </w:tc>
              <w:tc>
                <w:tcPr>
                  <w:tcW w:w="648"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ascii="宋体" w:hAnsi="宋体" w:cs="Times New Roman"/>
                      <w:kern w:val="0"/>
                      <w:szCs w:val="21"/>
                    </w:rPr>
                    <w:t>1</w:t>
                  </w:r>
                  <w:r>
                    <w:rPr>
                      <w:rFonts w:hint="eastAsia" w:ascii="宋体" w:hAnsi="宋体" w:cs="Times New Roman"/>
                      <w:kern w:val="0"/>
                      <w:szCs w:val="21"/>
                    </w:rPr>
                    <w:t>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ascii="宋体" w:hAnsi="宋体" w:cs="Times New Roman"/>
                      <w:kern w:val="0"/>
                      <w:szCs w:val="21"/>
                    </w:rPr>
                    <w:t>2</w:t>
                  </w:r>
                </w:p>
              </w:tc>
              <w:tc>
                <w:tcPr>
                  <w:tcW w:w="3819"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H</w:t>
                  </w:r>
                  <w:r>
                    <w:rPr>
                      <w:rFonts w:ascii="宋体" w:hAnsi="宋体" w:cs="Times New Roman"/>
                      <w:kern w:val="0"/>
                      <w:szCs w:val="21"/>
                    </w:rPr>
                    <w:t>3</w:t>
                  </w:r>
                  <w:r>
                    <w:rPr>
                      <w:rFonts w:hint="eastAsia" w:ascii="宋体" w:hAnsi="宋体" w:cs="Times New Roman"/>
                      <w:kern w:val="0"/>
                      <w:szCs w:val="21"/>
                    </w:rPr>
                    <w:t>C</w:t>
                  </w:r>
                  <w:r>
                    <w:rPr>
                      <w:rFonts w:ascii="宋体" w:hAnsi="宋体" w:cs="Times New Roman"/>
                      <w:kern w:val="0"/>
                      <w:szCs w:val="21"/>
                    </w:rPr>
                    <w:t xml:space="preserve"> 7503 </w:t>
                  </w:r>
                  <w:r>
                    <w:rPr>
                      <w:rFonts w:hint="eastAsia" w:ascii="宋体" w:hAnsi="宋体" w:cs="Times New Roman"/>
                      <w:kern w:val="0"/>
                      <w:szCs w:val="21"/>
                    </w:rPr>
                    <w:t>交换机主机及配件，板卡，模块等，以现有设备配置为准。</w:t>
                  </w:r>
                </w:p>
              </w:tc>
              <w:tc>
                <w:tcPr>
                  <w:tcW w:w="648"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ascii="宋体" w:hAnsi="宋体" w:cs="Times New Roman"/>
                      <w:kern w:val="0"/>
                      <w:szCs w:val="21"/>
                    </w:rPr>
                    <w:t>3</w:t>
                  </w:r>
                </w:p>
              </w:tc>
              <w:tc>
                <w:tcPr>
                  <w:tcW w:w="3819"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H</w:t>
                  </w:r>
                  <w:r>
                    <w:rPr>
                      <w:rFonts w:ascii="宋体" w:hAnsi="宋体" w:cs="Times New Roman"/>
                      <w:kern w:val="0"/>
                      <w:szCs w:val="21"/>
                    </w:rPr>
                    <w:t>3</w:t>
                  </w:r>
                  <w:r>
                    <w:rPr>
                      <w:rFonts w:hint="eastAsia" w:ascii="宋体" w:hAnsi="宋体" w:cs="Times New Roman"/>
                      <w:kern w:val="0"/>
                      <w:szCs w:val="21"/>
                    </w:rPr>
                    <w:t>C</w:t>
                  </w:r>
                  <w:r>
                    <w:rPr>
                      <w:rFonts w:ascii="宋体" w:hAnsi="宋体" w:cs="Times New Roman"/>
                      <w:kern w:val="0"/>
                      <w:szCs w:val="21"/>
                    </w:rPr>
                    <w:t xml:space="preserve"> 5130</w:t>
                  </w:r>
                  <w:r>
                    <w:rPr>
                      <w:rFonts w:hint="eastAsia" w:ascii="宋体" w:hAnsi="宋体" w:cs="Times New Roman"/>
                      <w:kern w:val="0"/>
                      <w:szCs w:val="21"/>
                    </w:rPr>
                    <w:t>S</w:t>
                  </w:r>
                  <w:r>
                    <w:rPr>
                      <w:rFonts w:ascii="宋体" w:hAnsi="宋体" w:cs="Times New Roman"/>
                      <w:kern w:val="0"/>
                      <w:szCs w:val="21"/>
                    </w:rPr>
                    <w:t xml:space="preserve"> </w:t>
                  </w:r>
                  <w:r>
                    <w:rPr>
                      <w:rFonts w:hint="eastAsia" w:ascii="宋体" w:hAnsi="宋体" w:cs="Times New Roman"/>
                      <w:kern w:val="0"/>
                      <w:szCs w:val="21"/>
                    </w:rPr>
                    <w:t>交换机</w:t>
                  </w:r>
                </w:p>
              </w:tc>
              <w:tc>
                <w:tcPr>
                  <w:tcW w:w="648" w:type="pct"/>
                  <w:tcBorders>
                    <w:top w:val="single" w:color="000000" w:sz="4" w:space="0"/>
                    <w:left w:val="single" w:color="000000" w:sz="4" w:space="0"/>
                    <w:bottom w:val="single" w:color="000000" w:sz="4" w:space="0"/>
                    <w:right w:val="single" w:color="000000" w:sz="4" w:space="0"/>
                  </w:tcBorders>
                </w:tcPr>
                <w:p>
                  <w:pPr>
                    <w:adjustRightInd w:val="0"/>
                    <w:spacing w:line="360" w:lineRule="atLeast"/>
                    <w:jc w:val="left"/>
                    <w:textAlignment w:val="baseline"/>
                    <w:rPr>
                      <w:rFonts w:ascii="宋体" w:hAnsi="宋体" w:cs="Times New Roman"/>
                      <w:kern w:val="0"/>
                      <w:szCs w:val="21"/>
                    </w:rPr>
                  </w:pPr>
                  <w:r>
                    <w:rPr>
                      <w:rFonts w:ascii="宋体" w:hAnsi="宋体" w:cs="Times New Roman"/>
                      <w:kern w:val="0"/>
                      <w:szCs w:val="21"/>
                    </w:rPr>
                    <w:t>1</w:t>
                  </w:r>
                  <w:r>
                    <w:rPr>
                      <w:rFonts w:hint="eastAsia" w:ascii="宋体" w:hAnsi="宋体" w:cs="Times New Roman"/>
                      <w:kern w:val="0"/>
                      <w:szCs w:val="21"/>
                    </w:rPr>
                    <w:t>台</w:t>
                  </w:r>
                </w:p>
              </w:tc>
            </w:tr>
          </w:tbl>
          <w:p>
            <w:pPr>
              <w:numPr>
                <w:ilvl w:val="0"/>
                <w:numId w:val="1"/>
              </w:numPr>
              <w:spacing w:line="360" w:lineRule="auto"/>
              <w:rPr>
                <w:rFonts w:ascii="Times New Roman" w:hAnsi="Times New Roman"/>
                <w:b/>
                <w:bCs/>
                <w:szCs w:val="21"/>
              </w:rPr>
            </w:pPr>
            <w:r>
              <w:rPr>
                <w:rFonts w:hint="eastAsia" w:ascii="Times New Roman" w:hAnsi="Times New Roman"/>
                <w:b/>
                <w:bCs/>
                <w:szCs w:val="21"/>
              </w:rPr>
              <w:t>供应商服务要求</w:t>
            </w:r>
          </w:p>
          <w:tbl>
            <w:tblPr>
              <w:tblStyle w:val="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565"/>
              <w:gridCol w:w="4589"/>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07" w:type="pct"/>
                </w:tcPr>
                <w:p>
                  <w:pPr>
                    <w:adjustRightInd w:val="0"/>
                    <w:snapToGrid w:val="0"/>
                    <w:spacing w:line="360" w:lineRule="atLeast"/>
                    <w:ind w:right="-83"/>
                    <w:jc w:val="left"/>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序号</w:t>
                  </w:r>
                </w:p>
              </w:tc>
              <w:tc>
                <w:tcPr>
                  <w:tcW w:w="431" w:type="pct"/>
                </w:tcPr>
                <w:p>
                  <w:pPr>
                    <w:adjustRightInd w:val="0"/>
                    <w:snapToGrid w:val="0"/>
                    <w:spacing w:line="360" w:lineRule="atLeast"/>
                    <w:ind w:right="-83"/>
                    <w:jc w:val="left"/>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指标项</w:t>
                  </w:r>
                </w:p>
              </w:tc>
              <w:tc>
                <w:tcPr>
                  <w:tcW w:w="3499" w:type="pct"/>
                </w:tcPr>
                <w:p>
                  <w:pPr>
                    <w:adjustRightInd w:val="0"/>
                    <w:snapToGrid w:val="0"/>
                    <w:spacing w:line="360" w:lineRule="atLeast"/>
                    <w:ind w:right="-83"/>
                    <w:jc w:val="left"/>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指标要求</w:t>
                  </w:r>
                </w:p>
              </w:tc>
              <w:tc>
                <w:tcPr>
                  <w:tcW w:w="662" w:type="pct"/>
                </w:tcPr>
                <w:p>
                  <w:pPr>
                    <w:adjustRightInd w:val="0"/>
                    <w:snapToGrid w:val="0"/>
                    <w:spacing w:line="360" w:lineRule="atLeast"/>
                    <w:ind w:right="-83"/>
                    <w:jc w:val="left"/>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证明材料要求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驻场人员要求1</w:t>
                  </w:r>
                </w:p>
              </w:tc>
              <w:tc>
                <w:tcPr>
                  <w:tcW w:w="349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须指派1名项目经理，持有项目管理专业人员能力评价（CSPM）证书或项目管理专业人士资格认证（PMP），提供投标人为本项目的项目经理缴纳开标前12个月内任意1个月社保的证明材料。</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2</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驻场人员要求2</w:t>
                  </w:r>
                </w:p>
              </w:tc>
              <w:tc>
                <w:tcPr>
                  <w:tcW w:w="349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服务期内中标供应商需派驻不少于2名具有相关能力的工程师在采购人现场进行5*8小时驻场维护服务，驻场期间驻场人员具体工作由采购人安排。</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3</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驻场人员要求3</w:t>
                  </w:r>
                </w:p>
              </w:tc>
              <w:tc>
                <w:tcPr>
                  <w:tcW w:w="349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驻场工程师应持有或分别持有RHCSA认证证书、网络工程师认证资格证书、信息安全专家认证资格证书、运维工程师认证资格证书。</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4</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投标人资质</w:t>
                  </w:r>
                </w:p>
              </w:tc>
              <w:tc>
                <w:tcPr>
                  <w:tcW w:w="349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投标人具有效期内的质量管理体系认证（ISO9001或GB/T19001）证书。</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5</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服务指标1</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一般问题4小时内解决，非硬件问题8小时内解决；除在采购人现场存放常规部件外，其余备件24小时到位；所有问题解决时间不得超过36小时。</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6</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服务指标2</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中标供应商负责定期检查维保设备，免费更换所有故障损坏配件，更换配件的品牌、型号、性能不得低于原设备配件档次。</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7</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服务指标3</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驻场工程师进行日常信息化软硬件设备的巡检，及时发现采购人计算机及网络系统存在的隐患与安全漏洞，由项目经理形成书面报告向采购人提出，并与采购人共同解决存在的问题与隐患。每个月进行一次系统全面维护，对维护保障设备进行预防性维护，排除系统的隐患，解决系统出现的故障，并提供维护报告，及时与采购人进行交流，及时协调解决维护工作中的问题。</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8</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服务指标4</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为采购人提供系统软件升级和补丁升级服务，包括各类小型机操作系统、Windows操作系统、Linux操作系统、VMWare虚拟化软件、防病毒软件，标签系统等。按采购人要求及时安装最新的软件补丁，消除可能存在的系统隐患。</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9</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服务指标5</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中标供应商为采购人提供包括磁盘空间整理、日志文件分析、系统健康检查、性能分析及调整优化等服务。</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10</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服务指标6</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中标供应商为采购人提供网络故障和异常诊断，并根据采购人要求调整交换机VLAN和ACL等网络设备配置和策略设置。</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11</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服务指标7</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要建立专门的软硬件设备维护档案，中标供应商工程师第一次现场巡检时，要做出保修设备的详细配置清单、所使用的操作系统、版本号、系统的使用情况及系统的配置参数。每次巡检为每台保修设备填写巡检表，记录设备的运行情况、出现过的问题和解决的办法、设备的配置变动等情况。在故障处理过程中，要详细记录故障的现象、处理的过程、更换设备的情况、记录更换设备的原型号和现型号等内容。巡检报告和巡检表，故障处理记录表应双方签字确认。</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12</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服务指标8</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中标供应商应采取措施确保采购人整个信息系统运转的高效、稳定和安全，减少和避免系统性能瓶颈，杜绝信息系统安全事故，并且能根据采购人需要，提供信息系统运行的合理化建议和方案</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13</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服务指标9</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中标供应商应采购人要求提供机房内设备、机架、线路等整理和标识服务,并按采购人要求提供整理所需的标签、网线及可用标签打印机</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14</w:t>
                  </w:r>
                </w:p>
              </w:tc>
              <w:tc>
                <w:tcPr>
                  <w:tcW w:w="431"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保密要求</w:t>
                  </w:r>
                </w:p>
              </w:tc>
              <w:tc>
                <w:tcPr>
                  <w:tcW w:w="3499" w:type="pct"/>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中标供应商运维人员应当严格遵守采购人相关规定，严禁泄漏、窃取、篡改采购人管理数据，未经采购人确认，中标供应商运维人员不得对采购人软硬件设备进行任何操作。中标供应商应采取措施保证其人员在为采购人服务期间所接触的各种文件、数据、信息、系统资料和系统操作等严格遵守采购人保密制度</w:t>
                  </w:r>
                </w:p>
              </w:tc>
              <w:tc>
                <w:tcPr>
                  <w:tcW w:w="662"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bl>
          <w:p>
            <w:pPr>
              <w:widowControl/>
              <w:jc w:val="left"/>
              <w:rPr>
                <w:rFonts w:ascii="Times New Roman" w:hAnsi="Times New Roman"/>
                <w:b/>
                <w:bCs/>
                <w:kern w:val="44"/>
                <w:szCs w:val="21"/>
              </w:rPr>
            </w:pPr>
          </w:p>
          <w:p>
            <w:pPr>
              <w:numPr>
                <w:ilvl w:val="0"/>
                <w:numId w:val="1"/>
              </w:numPr>
              <w:spacing w:line="360" w:lineRule="auto"/>
              <w:rPr>
                <w:rFonts w:ascii="Times New Roman" w:hAnsi="Times New Roman"/>
                <w:b/>
                <w:bCs/>
                <w:szCs w:val="21"/>
              </w:rPr>
            </w:pPr>
            <w:r>
              <w:rPr>
                <w:rFonts w:hint="eastAsia" w:ascii="仿宋" w:hAnsi="仿宋" w:cs="黑体"/>
                <w:b/>
                <w:bCs/>
                <w:color w:val="000000"/>
                <w:szCs w:val="21"/>
              </w:rPr>
              <w:t>网络边界威胁防护服务1年期</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2"/>
              <w:gridCol w:w="1447"/>
              <w:gridCol w:w="3986"/>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7" w:type="pct"/>
                </w:tcPr>
                <w:p>
                  <w:pPr>
                    <w:adjustRightInd w:val="0"/>
                    <w:snapToGrid w:val="0"/>
                    <w:spacing w:line="360" w:lineRule="atLeast"/>
                    <w:ind w:right="-83"/>
                    <w:jc w:val="center"/>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序号</w:t>
                  </w:r>
                </w:p>
              </w:tc>
              <w:tc>
                <w:tcPr>
                  <w:tcW w:w="1103" w:type="pct"/>
                </w:tcPr>
                <w:p>
                  <w:pPr>
                    <w:adjustRightInd w:val="0"/>
                    <w:snapToGrid w:val="0"/>
                    <w:spacing w:line="360" w:lineRule="atLeast"/>
                    <w:ind w:right="-83"/>
                    <w:jc w:val="center"/>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指标项</w:t>
                  </w:r>
                </w:p>
              </w:tc>
              <w:tc>
                <w:tcPr>
                  <w:tcW w:w="3039" w:type="pct"/>
                </w:tcPr>
                <w:p>
                  <w:pPr>
                    <w:adjustRightInd w:val="0"/>
                    <w:snapToGrid w:val="0"/>
                    <w:spacing w:line="360" w:lineRule="atLeast"/>
                    <w:ind w:right="-83"/>
                    <w:jc w:val="center"/>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指标要求</w:t>
                  </w:r>
                </w:p>
              </w:tc>
              <w:tc>
                <w:tcPr>
                  <w:tcW w:w="549" w:type="pct"/>
                </w:tcPr>
                <w:p>
                  <w:pPr>
                    <w:adjustRightInd w:val="0"/>
                    <w:snapToGrid w:val="0"/>
                    <w:spacing w:line="360" w:lineRule="atLeast"/>
                    <w:ind w:right="-83"/>
                    <w:jc w:val="center"/>
                    <w:textAlignment w:val="baseline"/>
                    <w:rPr>
                      <w:rFonts w:ascii="宋体" w:hAnsi="宋体" w:cs="Times New Roman"/>
                      <w:b/>
                      <w:snapToGrid w:val="0"/>
                      <w:spacing w:val="-10"/>
                      <w:kern w:val="0"/>
                      <w:szCs w:val="21"/>
                    </w:rPr>
                  </w:pPr>
                  <w:r>
                    <w:rPr>
                      <w:rFonts w:hint="eastAsia" w:ascii="宋体" w:hAnsi="宋体" w:cs="Times New Roman"/>
                      <w:b/>
                      <w:snapToGrid w:val="0"/>
                      <w:spacing w:val="-10"/>
                      <w:kern w:val="0"/>
                      <w:szCs w:val="21"/>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1</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高级外部攻击检测与分析</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所部署安全工具需具备针对多种类型入侵攻击的检测与防护能力，覆盖侦查、漏洞利用、病毒攻击、建立通信隧道、网站后门&amp;shell、连接远控地址、木马远控、远控工具流量、挖矿、僵尸网络行为、蠕虫攻击、勒索攻击、数据窃取、尝试下载恶意文件、钓鱼、对外攻击、攻击持久化操作等攻击类型。</w:t>
                  </w:r>
                </w:p>
              </w:tc>
              <w:tc>
                <w:tcPr>
                  <w:tcW w:w="54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2</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失陷终端检测与精准定位</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所部署安全工具需提供针对勒索、挖矿、木马远控、DNSlog等恶意软件攻击行为的精准检测能力，并需在恶意软件反连外网时阻断其通信。服务需具备失陷终端的精准定位能力，在检出并阻断反连行为的同时，能够直观提供失陷终端的真实IP地址；失陷终端定位需支持通过接入DNS服务器日志的方式进行关联分析。</w:t>
                  </w:r>
                </w:p>
              </w:tc>
              <w:tc>
                <w:tcPr>
                  <w:tcW w:w="549" w:type="pct"/>
                  <w:vAlign w:val="center"/>
                </w:tcPr>
                <w:p>
                  <w:pPr>
                    <w:adjustRightInd w:val="0"/>
                    <w:spacing w:line="360" w:lineRule="atLeast"/>
                    <w:jc w:val="left"/>
                    <w:textAlignment w:val="baseline"/>
                    <w:rPr>
                      <w:rFonts w:ascii="宋体" w:hAnsi="宋体" w:cs="Times New Roman"/>
                      <w:kern w:val="0"/>
                      <w:szCs w:val="21"/>
                    </w:rPr>
                  </w:pPr>
                  <w:bookmarkStart w:id="0" w:name="OLE_LINK1"/>
                  <w:bookmarkStart w:id="1" w:name="OLE_LINK2"/>
                  <w:r>
                    <w:rPr>
                      <w:rFonts w:hint="eastAsia" w:ascii="宋体" w:hAnsi="宋体" w:cs="Times New Roman"/>
                      <w:kern w:val="0"/>
                      <w:szCs w:val="21"/>
                    </w:rPr>
                    <w:t>否</w:t>
                  </w:r>
                  <w:bookmarkEnd w:id="0"/>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3</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威胁封禁与策略配置</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所部署安全工具需提供高容量的威胁封禁能力，允许添加的IP或域名数量达10万条以上，且封禁范围需包含IPv6地址。服务需提供灵活的封禁策略配置，能够根据实际环境需求进行定制化设置，能够依据攻击者IP信誉、地理位置、攻击频次、威胁名称、威胁类型、受害资产信息等条件，精准拦截攻击者后续恶意攻击流量。</w:t>
                  </w:r>
                </w:p>
              </w:tc>
              <w:tc>
                <w:tcPr>
                  <w:tcW w:w="54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4</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威胁情报成熟度</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威胁情报数据更新周期1小时以内。服务提供商需入选Gartner威胁情报市场指南，保障提供高精准的情报数据及高级安全威胁监测能力。</w:t>
                  </w:r>
                </w:p>
              </w:tc>
              <w:tc>
                <w:tcPr>
                  <w:tcW w:w="54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5</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0day防护</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所部署安全工具需具备针对高危0day漏洞的深度检测能力，支持检出的0day数量不少于50个。</w:t>
                  </w:r>
                </w:p>
              </w:tc>
              <w:tc>
                <w:tcPr>
                  <w:tcW w:w="54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6</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APT防护</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所部署安全工具需支持对APT攻击的检出并提供专项防护措施，并具备基于APT场景的策略设置和防护效果的呈现能力。</w:t>
                  </w:r>
                </w:p>
              </w:tc>
              <w:tc>
                <w:tcPr>
                  <w:tcW w:w="54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7</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检测能力更新</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为保障情报、规则及应用特征库的实时性与有效性，针对不同网络环境，需提供自动联网与离线手动导入两种更新模式。实现情报、规则和应用特征库的分钟级更新。</w:t>
                  </w:r>
                </w:p>
              </w:tc>
              <w:tc>
                <w:tcPr>
                  <w:tcW w:w="54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8</w:t>
                  </w:r>
                </w:p>
              </w:tc>
              <w:tc>
                <w:tcPr>
                  <w:tcW w:w="1103"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服务工具维保与技术支持服务</w:t>
                  </w:r>
                </w:p>
              </w:tc>
              <w:tc>
                <w:tcPr>
                  <w:tcW w:w="303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在服务周期内，对所提供的服务工具（涵盖硬件和软件）提供免费维保服务。</w:t>
                  </w:r>
                </w:p>
              </w:tc>
              <w:tc>
                <w:tcPr>
                  <w:tcW w:w="549" w:type="pct"/>
                  <w:vAlign w:val="center"/>
                </w:tcPr>
                <w:p>
                  <w:pPr>
                    <w:adjustRightInd w:val="0"/>
                    <w:spacing w:line="360" w:lineRule="atLeast"/>
                    <w:jc w:val="left"/>
                    <w:textAlignment w:val="baseline"/>
                    <w:rPr>
                      <w:rFonts w:ascii="宋体" w:hAnsi="宋体" w:cs="Times New Roman"/>
                      <w:kern w:val="0"/>
                      <w:szCs w:val="21"/>
                    </w:rPr>
                  </w:pPr>
                  <w:r>
                    <w:rPr>
                      <w:rFonts w:hint="eastAsia" w:ascii="宋体" w:hAnsi="宋体" w:cs="Times New Roman"/>
                      <w:kern w:val="0"/>
                      <w:szCs w:val="21"/>
                    </w:rPr>
                    <w:t>否</w:t>
                  </w:r>
                </w:p>
              </w:tc>
            </w:tr>
          </w:tbl>
          <w:p>
            <w:pPr>
              <w:widowControl/>
              <w:jc w:val="center"/>
              <w:textAlignment w:val="center"/>
              <w:rPr>
                <w:rFonts w:ascii="宋体" w:hAnsi="宋体"/>
                <w:color w:val="000000"/>
                <w:kern w:val="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olor w:val="000000"/>
                <w:sz w:val="24"/>
              </w:rPr>
            </w:pPr>
          </w:p>
          <w:p>
            <w:pPr>
              <w:rPr>
                <w:rFonts w:ascii="宋体" w:hAnsi="宋体"/>
                <w:color w:val="000000"/>
                <w:sz w:val="24"/>
              </w:rPr>
            </w:pPr>
          </w:p>
          <w:p>
            <w:pPr>
              <w:jc w:val="center"/>
              <w:rPr>
                <w:rFonts w:ascii="宋体" w:hAnsi="宋体"/>
                <w:color w:val="000000"/>
                <w:kern w:val="0"/>
                <w:sz w:val="24"/>
              </w:rPr>
            </w:pPr>
            <w:r>
              <w:rPr>
                <w:rFonts w:hint="eastAsia" w:ascii="宋体" w:hAnsi="宋体"/>
                <w:color w:val="000000"/>
                <w:kern w:val="0"/>
                <w:sz w:val="24"/>
              </w:rPr>
              <w:t>设备技术性能/</w:t>
            </w:r>
          </w:p>
          <w:p>
            <w:pPr>
              <w:jc w:val="center"/>
              <w:rPr>
                <w:rFonts w:ascii="宋体" w:hAnsi="宋体"/>
                <w:color w:val="000000"/>
                <w:sz w:val="24"/>
              </w:rPr>
            </w:pPr>
            <w:r>
              <w:rPr>
                <w:rFonts w:hint="eastAsia" w:ascii="宋体" w:hAnsi="宋体"/>
                <w:color w:val="000000"/>
                <w:kern w:val="0"/>
                <w:sz w:val="24"/>
              </w:rPr>
              <w:t>服务参数需求</w:t>
            </w:r>
          </w:p>
          <w:p>
            <w:pPr>
              <w:rPr>
                <w:rFonts w:ascii="宋体" w:hAnsi="宋体"/>
                <w:color w:val="000000"/>
                <w:sz w:val="24"/>
              </w:rPr>
            </w:pPr>
          </w:p>
          <w:p>
            <w:pPr>
              <w:rPr>
                <w:rFonts w:ascii="宋体" w:hAnsi="宋体"/>
                <w:color w:val="000000"/>
                <w:sz w:val="24"/>
              </w:rPr>
            </w:pPr>
          </w:p>
          <w:p>
            <w:pPr>
              <w:rPr>
                <w:rFonts w:ascii="宋体" w:hAnsi="宋体"/>
                <w:color w:val="000000"/>
                <w:sz w:val="24"/>
              </w:rPr>
            </w:pPr>
          </w:p>
        </w:tc>
        <w:tc>
          <w:tcPr>
            <w:tcW w:w="6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r>
        <w:tblPrEx>
          <w:tblCellMar>
            <w:top w:w="0" w:type="dxa"/>
            <w:left w:w="108" w:type="dxa"/>
            <w:bottom w:w="0" w:type="dxa"/>
            <w:right w:w="108" w:type="dxa"/>
          </w:tblCellMar>
        </w:tblPrEx>
        <w:trPr>
          <w:trHeight w:val="1092"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spacing w:line="360" w:lineRule="auto"/>
              <w:jc w:val="center"/>
              <w:rPr>
                <w:rFonts w:ascii="宋体" w:hAnsi="宋体"/>
                <w:b/>
                <w:bCs/>
                <w:color w:val="000000"/>
                <w:sz w:val="32"/>
                <w:szCs w:val="32"/>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c>
          <w:tcPr>
            <w:tcW w:w="6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4"/>
              </w:rPr>
            </w:pPr>
          </w:p>
        </w:tc>
      </w:tr>
    </w:tbl>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D4830"/>
    <w:multiLevelType w:val="multilevel"/>
    <w:tmpl w:val="29DD483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3233888"/>
    <w:multiLevelType w:val="singleLevel"/>
    <w:tmpl w:val="63233888"/>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47"/>
    <w:rsid w:val="002C2F09"/>
    <w:rsid w:val="00493A47"/>
    <w:rsid w:val="005926A6"/>
    <w:rsid w:val="00691733"/>
    <w:rsid w:val="009A27CA"/>
    <w:rsid w:val="00AE788C"/>
    <w:rsid w:val="00D12F86"/>
    <w:rsid w:val="00EB5866"/>
    <w:rsid w:val="02544BD0"/>
    <w:rsid w:val="0E236ED2"/>
    <w:rsid w:val="1E602E09"/>
    <w:rsid w:val="201505B0"/>
    <w:rsid w:val="32F613F1"/>
    <w:rsid w:val="39063197"/>
    <w:rsid w:val="3DF41725"/>
    <w:rsid w:val="3F9F20A8"/>
    <w:rsid w:val="42AE426E"/>
    <w:rsid w:val="48ED774E"/>
    <w:rsid w:val="4DD352E7"/>
    <w:rsid w:val="51614929"/>
    <w:rsid w:val="51A335E2"/>
    <w:rsid w:val="55893465"/>
    <w:rsid w:val="590810BD"/>
    <w:rsid w:val="5F122487"/>
    <w:rsid w:val="644F5E92"/>
    <w:rsid w:val="65444B6A"/>
    <w:rsid w:val="705F7A5E"/>
    <w:rsid w:val="7D443A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customStyle="1" w:styleId="8">
    <w:name w:val="font81"/>
    <w:basedOn w:val="6"/>
    <w:qFormat/>
    <w:uiPriority w:val="0"/>
    <w:rPr>
      <w:rFonts w:ascii="Wingdings" w:hAnsi="Wingdings" w:cs="Wingdings"/>
      <w:color w:val="000000"/>
      <w:sz w:val="24"/>
      <w:szCs w:val="24"/>
      <w:u w:val="none"/>
    </w:rPr>
  </w:style>
  <w:style w:type="character" w:customStyle="1" w:styleId="9">
    <w:name w:val="font11"/>
    <w:basedOn w:val="6"/>
    <w:qFormat/>
    <w:uiPriority w:val="0"/>
    <w:rPr>
      <w:rFonts w:hint="eastAsia" w:ascii="宋体" w:hAnsi="宋体" w:eastAsia="宋体" w:cs="宋体"/>
      <w:color w:val="000000"/>
      <w:sz w:val="24"/>
      <w:szCs w:val="24"/>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页眉 字符"/>
    <w:basedOn w:val="6"/>
    <w:link w:val="4"/>
    <w:qFormat/>
    <w:uiPriority w:val="0"/>
    <w:rPr>
      <w:rFonts w:ascii="Calibri" w:hAnsi="Calibri" w:cs="宋体"/>
      <w:kern w:val="2"/>
      <w:sz w:val="18"/>
      <w:szCs w:val="18"/>
    </w:rPr>
  </w:style>
  <w:style w:type="character" w:customStyle="1" w:styleId="12">
    <w:name w:val="页脚 字符"/>
    <w:basedOn w:val="6"/>
    <w:link w:val="3"/>
    <w:qFormat/>
    <w:uiPriority w:val="0"/>
    <w:rPr>
      <w:rFonts w:ascii="Calibri" w:hAnsi="Calibri" w:cs="宋体"/>
      <w:kern w:val="2"/>
      <w:sz w:val="18"/>
      <w:szCs w:val="18"/>
    </w:rPr>
  </w:style>
  <w:style w:type="character" w:customStyle="1" w:styleId="13">
    <w:name w:val="批注框文本 字符"/>
    <w:basedOn w:val="6"/>
    <w:link w:val="2"/>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587</Words>
  <Characters>3348</Characters>
  <Lines>27</Lines>
  <Paragraphs>7</Paragraphs>
  <TotalTime>9</TotalTime>
  <ScaleCrop>false</ScaleCrop>
  <LinksUpToDate>false</LinksUpToDate>
  <CharactersWithSpaces>3928</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2025-08-18T00:32:00Z</dcterms:created>
  <dc:creator>设备处</dc:creator>
  <cp:lastModifiedBy>WPS_385350671</cp:lastModifiedBy>
  <cp:lastPrinted>2026-08-17T07:14:00Z</cp:lastPrinted>
  <dcterms:modified xsi:type="dcterms:W3CDTF">2026-08-17T07:48:08Z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083C40DE60B7424CB1609F4C805839F2</vt:lpwstr>
  </property>
  <property fmtid="{D5CDD505-2E9C-101B-9397-08002B2CF9AE}" pid="4" name="KSOTemplateDocerSaveRecord">
    <vt:lpwstr>eyJoZGlkIjoiZjY5ODk2ODFhN2NhODdhNWVhMWQwNzIxOWNiNjUzOTUiLCJ1c2VySWQiOiIxNjI2ODI1NDM0In0=</vt:lpwstr>
  </property>
</Properties>
</file>