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18672">
      <w:pPr>
        <w:jc w:val="center"/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结直肠癌诊疗能力提升项目会务服务需求</w:t>
      </w:r>
    </w:p>
    <w:p w14:paraId="7A38599D">
      <w:pP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</w:pPr>
    </w:p>
    <w:p w14:paraId="091914EC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即日起至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月培训项目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预计覆盖约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0家肿瘤专科医院或综合医院肿瘤科，培训结直肠癌技术骨干约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200</w:t>
      </w:r>
      <w:r>
        <w:rPr>
          <w:rFonts w:hint="eastAsia" w:ascii="仿宋" w:hAnsi="仿宋" w:eastAsia="仿宋"/>
          <w:sz w:val="32"/>
          <w:szCs w:val="32"/>
        </w:rPr>
        <w:t>人。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通过前期</w:t>
      </w:r>
      <w:r>
        <w:rPr>
          <w:rFonts w:hint="eastAsia" w:ascii="仿宋" w:hAnsi="仿宋" w:eastAsia="仿宋"/>
          <w:sz w:val="32"/>
          <w:szCs w:val="32"/>
        </w:rPr>
        <w:t>开展培训需求调研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筛选培训基地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组建师资队伍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筛选培训对象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制订培训方案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 w:cs="仿宋"/>
          <w:kern w:val="0"/>
          <w:sz w:val="32"/>
          <w:szCs w:val="32"/>
        </w:rPr>
        <w:t>灯塔专家赋能培训班，线下约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0人次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</w:rPr>
        <w:t>卓越中心上行培训班，线下每期约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0人次，举办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期，约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18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人次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 w14:paraId="31FF9C86">
      <w:pP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需要根据项目内容，参与并联络培训基地，联系参与培训的教授及机构，制定培训日程，交通预定，住宿安排，培训材料制作，会场准备等。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78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2026-07-22T01:17:44Z</dcterms:created>
  <dc:creator>ts</dc:creator>
  <cp:lastModifiedBy>ts</cp:lastModifiedBy>
  <dcterms:modified xsi:type="dcterms:W3CDTF">2026-07-22T01:18:54Z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eyJoZGlkIjoiMjYxNWFhZGIzMTUzMTBlN2I0MmExYTBiM2M5MWJmMDQifQ==</vt:lpwstr>
  </property>
  <property fmtid="{D5CDD505-2E9C-101B-9397-08002B2CF9AE}" pid="4" name="ICV">
    <vt:lpwstr>AD23226E25044724853DE68298F89B38_12</vt:lpwstr>
  </property>
</Properties>
</file>