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ABBC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8307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DF311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计算核心架构：采用新一代GPU计算架构，支持通用并行计算标准（如CUDA、OpenCL），具备硬件级双精度浮点运算加速能力。</w:t>
            </w:r>
          </w:p>
          <w:p w14:paraId="2212D10F">
            <w:pPr>
              <w:rPr>
                <w:rFonts w:ascii="宋体" w:hAnsi="宋体"/>
                <w:color w:val="000000"/>
                <w:sz w:val="24"/>
              </w:rPr>
            </w:pPr>
          </w:p>
          <w:p w14:paraId="3E13E55B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板载RAM容量：不低于32 GB GDDR7或更高带宽RAM，满足单次模拟中存储百万级以上粒子状态、截面数据及计数结果的需求。</w:t>
            </w:r>
          </w:p>
          <w:p w14:paraId="1C52B71E">
            <w:pPr>
              <w:rPr>
                <w:rFonts w:ascii="宋体" w:hAnsi="宋体"/>
                <w:color w:val="000000"/>
                <w:sz w:val="24"/>
              </w:rPr>
            </w:pPr>
          </w:p>
          <w:p w14:paraId="4B1E42B3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RAM带宽：不低于1.7 TB/s。</w:t>
            </w:r>
          </w:p>
          <w:p w14:paraId="3862E021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7F7C1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软件生态兼容：提供完整的驱动程序、运行时环境及数学库，支持主流蒙特卡洛计算框架的GPU后端加速插件。</w:t>
            </w:r>
          </w:p>
          <w:p w14:paraId="3898781D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C44B193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显存管理机制：具备统一虚拟寻址或分页迁移技术，允许CPU直接访问GPU显存，降低因粒子状态数据频繁在主机-设备间拷贝所带来的开销。</w:t>
            </w:r>
          </w:p>
          <w:p w14:paraId="025D215C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996C2C1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供电与物理尺寸：符合PCIe 5.0 x16接口规范，占用双槽位或三槽位厚度，附带标准12 HVPWR电源接口，适配通用塔式工作站或4U机架式服务器。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19A6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9775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037D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3836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DDC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AD03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9CC4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76F3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43B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E096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A63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A9B0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13B8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04D3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AE71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734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C0F1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806AAB7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67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64CDCF">
            <w:pPr>
              <w:widowControl/>
              <w:jc w:val="left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323B05E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156E05"/>
    <w:rsid w:val="00291DE6"/>
    <w:rsid w:val="00493A47"/>
    <w:rsid w:val="005926A6"/>
    <w:rsid w:val="008A6503"/>
    <w:rsid w:val="009A27CA"/>
    <w:rsid w:val="00EA06B9"/>
    <w:rsid w:val="02544BD0"/>
    <w:rsid w:val="0C2835DF"/>
    <w:rsid w:val="0E236ED2"/>
    <w:rsid w:val="201505B0"/>
    <w:rsid w:val="3DF41725"/>
    <w:rsid w:val="42AE426E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575</Words>
  <Characters>626</Characters>
  <Lines>126</Lines>
  <Paragraphs>50</Paragraphs>
  <TotalTime>25</TotalTime>
  <ScaleCrop>false</ScaleCrop>
  <LinksUpToDate>false</LinksUpToDate>
  <CharactersWithSpaces>662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original </cp:lastModifiedBy>
  <cp:lastPrinted>2025-08-18T00:54:00Z</cp:lastPrinted>
  <dcterms:modified xsi:type="dcterms:W3CDTF">2026-06-11T01:52:01Z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6F8D0B583AD6429C956801AC1BFA6AC8_13</vt:lpwstr>
  </property>
  <property fmtid="{D5CDD505-2E9C-101B-9397-08002B2CF9AE}" pid="4" name="KSOTemplateDocerSaveRecord">
    <vt:lpwstr>eyJoZGlkIjoiYWUxYWZkYmNkZTc3OGJjMjI4NWM2YzI2OThiNjA4YmYiLCJ1c2VySWQiOiIyMjUwNjQzODYifQ==</vt:lpwstr>
  </property>
</Properties>
</file>