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89CB">
      <w:pPr>
        <w:ind w:firstLine="3373" w:firstLineChars="1400"/>
        <w:jc w:val="both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交换机技术参数要求</w:t>
      </w:r>
    </w:p>
    <w:bookmarkEnd w:id="0"/>
    <w:p w14:paraId="64120520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0691F97F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300CE81C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1、下行端口 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8个 10/100/1000BASE-T 以太网电口</w:t>
      </w:r>
    </w:p>
    <w:p w14:paraId="40905DF2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2、上行端口 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1个 10/100/1000BASE-T 以太网电口</w:t>
      </w:r>
    </w:p>
    <w:p w14:paraId="28C9ACA1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3、包转发率 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17Mpps</w:t>
      </w:r>
    </w:p>
    <w:p w14:paraId="5AF9CDAC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4、交换容量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256Gbps</w:t>
      </w:r>
    </w:p>
    <w:p w14:paraId="5BBFFF35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5、VLAN特性：支持4K个VLAN</w:t>
      </w:r>
    </w:p>
    <w:p w14:paraId="5F191A8D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6、二层特性：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支持VLAN、STP/RSTP/MSTP等</w:t>
      </w:r>
    </w:p>
    <w:p w14:paraId="50E8A4C1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7、IPv4路由：支持静态路由、动态路由（例如：OSPF、RIP等）</w:t>
      </w:r>
    </w:p>
    <w:p w14:paraId="7B03EE10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、管理与维护：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支持SNMP、Telnet、Console管理</w:t>
      </w:r>
    </w:p>
    <w:p w14:paraId="73BC62E7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、网络安全：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支持端口安全、802.1X认证、MAC地址认证等</w:t>
      </w:r>
    </w:p>
    <w:p w14:paraId="06D63235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、电源数量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</w:t>
      </w:r>
    </w:p>
    <w:p w14:paraId="6996C2C1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每台设备配置9根超六类成品网线；</w:t>
      </w:r>
    </w:p>
    <w:p w14:paraId="51117602">
      <w:pPr>
        <w:jc w:val="both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提供至少1年原厂维保；</w:t>
      </w:r>
    </w:p>
    <w:p w14:paraId="1CB0AA62"/>
    <w:p w14:paraId="28F3A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484F"/>
    <w:rsid w:val="021A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2026-06-04T06:14:00Z</dcterms:created>
  <dc:creator>小奥很</dc:creator>
  <cp:lastModifiedBy>小奥很</cp:lastModifiedBy>
  <dcterms:modified xsi:type="dcterms:W3CDTF">2026-06-04T07:22:37Z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EF5F33A4D7E149508FCDCA74A043DB58_11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