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536"/>
        <w:gridCol w:w="6531"/>
      </w:tblGrid>
      <w:tr w:rsidR="000A298E">
        <w:trPr>
          <w:trHeight w:val="533"/>
          <w:jc w:val="center"/>
        </w:trPr>
        <w:tc>
          <w:tcPr>
            <w:tcW w:w="10323" w:type="dxa"/>
            <w:gridSpan w:val="3"/>
            <w:tcBorders>
              <w:top w:val="nil"/>
              <w:left w:val="nil"/>
              <w:bottom w:val="nil"/>
              <w:right w:val="nil"/>
            </w:tcBorders>
            <w:vAlign w:val="center"/>
          </w:tcPr>
          <w:p w:rsidR="000A298E" w:rsidRDefault="001D78B6">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0A298E">
        <w:trPr>
          <w:trHeight w:val="547"/>
          <w:jc w:val="center"/>
        </w:trPr>
        <w:tc>
          <w:tcPr>
            <w:tcW w:w="125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1D78B6">
            <w:pPr>
              <w:widowControl/>
              <w:spacing w:line="360" w:lineRule="auto"/>
              <w:jc w:val="center"/>
              <w:textAlignment w:val="center"/>
              <w:rPr>
                <w:rFonts w:ascii="宋体" w:hAnsi="宋体"/>
                <w:b/>
                <w:bCs/>
                <w:color w:val="000000"/>
                <w:sz w:val="32"/>
                <w:szCs w:val="32"/>
              </w:rPr>
            </w:pPr>
            <w:r w:rsidRPr="001D78B6">
              <w:rPr>
                <w:rFonts w:ascii="宋体" w:hAnsi="宋体" w:hint="eastAsia"/>
                <w:b/>
                <w:bCs/>
                <w:color w:val="000000"/>
                <w:spacing w:val="15"/>
                <w:kern w:val="0"/>
                <w:sz w:val="28"/>
                <w:szCs w:val="28"/>
                <w:fitText w:val="1360" w:id="1649626286"/>
              </w:rPr>
              <w:t>参数需</w:t>
            </w:r>
            <w:r w:rsidRPr="001D78B6">
              <w:rPr>
                <w:rFonts w:ascii="宋体" w:hAnsi="宋体" w:hint="eastAsia"/>
                <w:b/>
                <w:bCs/>
                <w:color w:val="000000"/>
                <w:spacing w:val="30"/>
                <w:kern w:val="0"/>
                <w:sz w:val="28"/>
                <w:szCs w:val="28"/>
                <w:fitText w:val="1360" w:id="1649626286"/>
              </w:rPr>
              <w:t>求</w:t>
            </w:r>
          </w:p>
        </w:tc>
        <w:tc>
          <w:tcPr>
            <w:tcW w:w="2536" w:type="dxa"/>
            <w:tcBorders>
              <w:top w:val="single" w:sz="4" w:space="0" w:color="000000"/>
              <w:left w:val="single" w:sz="4" w:space="0" w:color="000000"/>
              <w:bottom w:val="single" w:sz="4" w:space="0" w:color="000000"/>
              <w:right w:val="single" w:sz="4" w:space="0" w:color="000000"/>
            </w:tcBorders>
            <w:vAlign w:val="center"/>
          </w:tcPr>
          <w:p w:rsidR="000A298E" w:rsidRDefault="001D78B6">
            <w:pPr>
              <w:widowControl/>
              <w:jc w:val="center"/>
              <w:textAlignment w:val="center"/>
              <w:rPr>
                <w:rFonts w:ascii="宋体" w:hAnsi="宋体"/>
                <w:color w:val="000000"/>
                <w:kern w:val="0"/>
                <w:sz w:val="24"/>
              </w:rPr>
            </w:pPr>
            <w:r>
              <w:rPr>
                <w:rFonts w:ascii="宋体" w:hAnsi="宋体" w:hint="eastAsia"/>
                <w:color w:val="000000"/>
                <w:kern w:val="0"/>
                <w:sz w:val="24"/>
              </w:rPr>
              <w:t>技术和性能参数需求</w:t>
            </w:r>
          </w:p>
        </w:tc>
        <w:tc>
          <w:tcPr>
            <w:tcW w:w="6531" w:type="dxa"/>
            <w:tcBorders>
              <w:top w:val="single" w:sz="4" w:space="0" w:color="000000"/>
              <w:left w:val="single" w:sz="4" w:space="0" w:color="000000"/>
              <w:bottom w:val="single" w:sz="4" w:space="0" w:color="000000"/>
              <w:right w:val="single" w:sz="4" w:space="0" w:color="000000"/>
            </w:tcBorders>
            <w:vAlign w:val="center"/>
          </w:tcPr>
          <w:p w:rsidR="000A298E" w:rsidRDefault="001D78B6">
            <w:pPr>
              <w:widowControl/>
              <w:jc w:val="center"/>
              <w:textAlignment w:val="center"/>
              <w:rPr>
                <w:rFonts w:ascii="宋体" w:hAnsi="宋体"/>
                <w:color w:val="000000"/>
                <w:kern w:val="0"/>
                <w:sz w:val="24"/>
              </w:rPr>
            </w:pPr>
            <w:r>
              <w:rPr>
                <w:rFonts w:ascii="宋体" w:hAnsi="宋体" w:hint="eastAsia"/>
                <w:color w:val="000000"/>
                <w:kern w:val="0"/>
                <w:sz w:val="24"/>
              </w:rPr>
              <w:t>配置需求</w:t>
            </w: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val="restart"/>
            <w:tcBorders>
              <w:top w:val="single" w:sz="4" w:space="0" w:color="000000"/>
              <w:left w:val="single" w:sz="4" w:space="0" w:color="000000"/>
              <w:bottom w:val="single" w:sz="4" w:space="0" w:color="000000"/>
              <w:right w:val="single" w:sz="4" w:space="0" w:color="000000"/>
            </w:tcBorders>
            <w:vAlign w:val="center"/>
          </w:tcPr>
          <w:p w:rsidR="000A298E" w:rsidRDefault="000A298E">
            <w:pPr>
              <w:rPr>
                <w:rFonts w:ascii="宋体" w:hAnsi="宋体"/>
                <w:color w:val="000000"/>
                <w:sz w:val="24"/>
              </w:rPr>
            </w:pPr>
          </w:p>
        </w:tc>
        <w:tc>
          <w:tcPr>
            <w:tcW w:w="6531" w:type="dxa"/>
            <w:vMerge w:val="restart"/>
            <w:tcBorders>
              <w:top w:val="single" w:sz="4" w:space="0" w:color="000000"/>
              <w:left w:val="single" w:sz="4" w:space="0" w:color="000000"/>
              <w:bottom w:val="single" w:sz="4" w:space="0" w:color="000000"/>
              <w:right w:val="single" w:sz="4" w:space="0" w:color="000000"/>
            </w:tcBorders>
            <w:vAlign w:val="center"/>
          </w:tcPr>
          <w:p w:rsidR="000A298E" w:rsidRDefault="001D78B6">
            <w:pPr>
              <w:pStyle w:val="aa"/>
              <w:ind w:firstLineChars="0" w:firstLine="0"/>
              <w:rPr>
                <w:rFonts w:ascii="宋体" w:hAnsi="宋体"/>
                <w:color w:val="000000"/>
                <w:sz w:val="28"/>
                <w:szCs w:val="28"/>
              </w:rPr>
            </w:pPr>
            <w:r>
              <w:rPr>
                <w:rFonts w:ascii="宋体" w:hAnsi="宋体" w:hint="eastAsia"/>
                <w:sz w:val="22"/>
                <w:szCs w:val="28"/>
              </w:rPr>
              <w:t>随着技术的快速发展和数据量的增长，国家</w:t>
            </w:r>
            <w:r>
              <w:rPr>
                <w:rFonts w:ascii="宋体" w:hAnsi="宋体" w:hint="eastAsia"/>
                <w:sz w:val="22"/>
                <w:szCs w:val="28"/>
                <w:shd w:val="clear" w:color="auto" w:fill="FDFDFE"/>
              </w:rPr>
              <w:t>对数据安全和个人信息保护的重视逐渐加强，相应的法律法规和政策文件也在不断完善。在《数据安全法》、《网络数据安全管理条例》、《个人信息保护法》等相关法律法规中，明确提出了对数据处理活动开展风险评估的要求</w:t>
            </w:r>
            <w:r>
              <w:rPr>
                <w:rFonts w:ascii="宋体" w:hAnsi="宋体" w:hint="eastAsia"/>
                <w:sz w:val="22"/>
                <w:szCs w:val="28"/>
              </w:rPr>
              <w:t>。中国医学科学院肿瘤医院（以下简称医院）为响应国家及上级主管部门的要求对医院下的数据资产开展数据分类分级和安全风险评估工作。</w:t>
            </w:r>
            <w:r w:rsidR="004626B6">
              <w:rPr>
                <w:rFonts w:ascii="宋体" w:hAnsi="宋体" w:hint="eastAsia"/>
                <w:sz w:val="22"/>
                <w:szCs w:val="28"/>
              </w:rPr>
              <w:t>项目内容与要求如下</w:t>
            </w:r>
            <w:r w:rsidR="004626B6">
              <w:rPr>
                <w:rFonts w:ascii="宋体" w:hAnsi="宋体" w:hint="eastAsia"/>
                <w:color w:val="000000"/>
                <w:sz w:val="24"/>
              </w:rPr>
              <w:t>(</w:t>
            </w:r>
            <w:r w:rsidR="004626B6">
              <w:rPr>
                <w:rFonts w:ascii="Segoe UI Symbol" w:hAnsi="Segoe UI Symbol" w:cs="Segoe UI Symbol"/>
              </w:rPr>
              <w:t>★</w:t>
            </w:r>
            <w:r w:rsidR="004626B6">
              <w:rPr>
                <w:rFonts w:ascii="Segoe UI Symbol" w:hAnsi="Segoe UI Symbol" w:cs="Segoe UI Symbol" w:hint="eastAsia"/>
              </w:rPr>
              <w:t>项提供证明材料</w:t>
            </w:r>
            <w:r w:rsidR="004626B6">
              <w:rPr>
                <w:rFonts w:ascii="Segoe UI Symbol" w:hAnsi="Segoe UI Symbol" w:cs="Segoe UI Symbol" w:hint="eastAsia"/>
              </w:rPr>
              <w:t>)</w:t>
            </w:r>
            <w:r w:rsidR="004626B6">
              <w:rPr>
                <w:rFonts w:ascii="Segoe UI Symbol" w:hAnsi="Segoe UI Symbol" w:cs="Segoe UI Symbol" w:hint="eastAsia"/>
              </w:rPr>
              <w:t>：</w:t>
            </w:r>
          </w:p>
          <w:p w:rsidR="000A298E" w:rsidRDefault="004626B6">
            <w:pPr>
              <w:pStyle w:val="aa"/>
              <w:ind w:firstLineChars="0" w:firstLine="0"/>
              <w:rPr>
                <w:rFonts w:ascii="宋体" w:hAnsi="宋体"/>
                <w:b/>
                <w:bCs/>
                <w:color w:val="000000"/>
                <w:sz w:val="24"/>
              </w:rPr>
            </w:pPr>
            <w:r>
              <w:rPr>
                <w:rFonts w:ascii="宋体" w:hAnsi="宋体" w:hint="eastAsia"/>
                <w:b/>
                <w:bCs/>
                <w:color w:val="000000"/>
                <w:sz w:val="24"/>
              </w:rPr>
              <w:t>一、项目内容描述</w:t>
            </w:r>
          </w:p>
          <w:p w:rsidR="000A298E" w:rsidRDefault="001D78B6">
            <w:pPr>
              <w:pStyle w:val="aa"/>
              <w:ind w:firstLineChars="0" w:firstLine="0"/>
              <w:rPr>
                <w:rFonts w:ascii="宋体" w:hAnsi="宋体"/>
                <w:sz w:val="22"/>
                <w:szCs w:val="22"/>
              </w:rPr>
            </w:pPr>
            <w:r>
              <w:rPr>
                <w:rFonts w:ascii="宋体" w:hAnsi="宋体" w:hint="eastAsia"/>
              </w:rPr>
              <w:t>（</w:t>
            </w:r>
            <w:r>
              <w:rPr>
                <w:rFonts w:ascii="宋体" w:hAnsi="宋体" w:hint="eastAsia"/>
                <w:sz w:val="22"/>
                <w:szCs w:val="22"/>
              </w:rPr>
              <w:t>一）</w:t>
            </w:r>
            <w:r>
              <w:rPr>
                <w:rFonts w:ascii="宋体" w:hAnsi="宋体" w:hint="eastAsia"/>
                <w:b/>
                <w:bCs/>
                <w:sz w:val="22"/>
                <w:szCs w:val="22"/>
              </w:rPr>
              <w:t>数据分类分级：</w:t>
            </w:r>
            <w:r>
              <w:rPr>
                <w:rFonts w:ascii="宋体" w:hAnsi="宋体" w:hint="eastAsia"/>
                <w:sz w:val="22"/>
                <w:szCs w:val="22"/>
              </w:rPr>
              <w:t>针对医院梳理的数据，依照数据分类分级规则和重要数据识别指南进行数据分类分级工作。</w:t>
            </w:r>
          </w:p>
          <w:p w:rsidR="000A298E" w:rsidRDefault="001D78B6">
            <w:pPr>
              <w:pStyle w:val="aa"/>
              <w:numPr>
                <w:ilvl w:val="0"/>
                <w:numId w:val="1"/>
              </w:numPr>
              <w:ind w:left="0" w:firstLine="440"/>
              <w:rPr>
                <w:rFonts w:ascii="宋体" w:hAnsi="宋体"/>
                <w:sz w:val="22"/>
                <w:szCs w:val="22"/>
              </w:rPr>
            </w:pPr>
            <w:r>
              <w:rPr>
                <w:rFonts w:ascii="宋体" w:hAnsi="宋体" w:hint="eastAsia"/>
                <w:sz w:val="22"/>
                <w:szCs w:val="22"/>
              </w:rPr>
              <w:t>依据国家数据分类分级相关标准、行业规范及医院数据安全管理要求，协助医院适配数据分类分级细则与判定标准。</w:t>
            </w:r>
          </w:p>
          <w:p w:rsidR="000A298E" w:rsidRDefault="001D78B6">
            <w:pPr>
              <w:pStyle w:val="aa"/>
              <w:numPr>
                <w:ilvl w:val="0"/>
                <w:numId w:val="1"/>
              </w:numPr>
              <w:ind w:left="0" w:firstLine="440"/>
              <w:rPr>
                <w:rFonts w:ascii="宋体" w:hAnsi="宋体"/>
                <w:sz w:val="22"/>
                <w:szCs w:val="22"/>
              </w:rPr>
            </w:pPr>
            <w:r>
              <w:rPr>
                <w:rFonts w:ascii="宋体" w:hAnsi="宋体" w:hint="eastAsia"/>
                <w:sz w:val="22"/>
                <w:szCs w:val="22"/>
              </w:rPr>
              <w:t>依据行业规范，协助医院开展重要数据识别、认定与标注，形成重要数据目录。</w:t>
            </w:r>
          </w:p>
          <w:p w:rsidR="000A298E" w:rsidRDefault="001D78B6">
            <w:pPr>
              <w:pStyle w:val="aa"/>
              <w:ind w:firstLineChars="0" w:firstLine="0"/>
              <w:rPr>
                <w:rFonts w:ascii="宋体" w:hAnsi="宋体"/>
                <w:sz w:val="22"/>
                <w:szCs w:val="22"/>
              </w:rPr>
            </w:pPr>
            <w:r>
              <w:rPr>
                <w:rFonts w:ascii="宋体" w:hAnsi="宋体" w:hint="eastAsia"/>
                <w:sz w:val="22"/>
                <w:szCs w:val="22"/>
              </w:rPr>
              <w:t>（二）</w:t>
            </w:r>
            <w:r>
              <w:rPr>
                <w:rFonts w:ascii="宋体" w:hAnsi="宋体" w:hint="eastAsia"/>
                <w:b/>
                <w:bCs/>
                <w:sz w:val="22"/>
                <w:szCs w:val="22"/>
              </w:rPr>
              <w:t>数据安全风险评估</w:t>
            </w:r>
            <w:r>
              <w:rPr>
                <w:rFonts w:ascii="宋体" w:hAnsi="宋体" w:hint="eastAsia"/>
                <w:sz w:val="22"/>
                <w:szCs w:val="22"/>
              </w:rPr>
              <w:t>：针对梳理的全量重要数据和抽样的一般数据，依据国标数据安全风险评估方法开展数据安全风险评估工作。</w:t>
            </w:r>
          </w:p>
          <w:p w:rsidR="000A298E" w:rsidRDefault="001D78B6">
            <w:pPr>
              <w:pStyle w:val="aa"/>
              <w:numPr>
                <w:ilvl w:val="0"/>
                <w:numId w:val="2"/>
              </w:numPr>
              <w:ind w:left="0" w:firstLine="440"/>
              <w:rPr>
                <w:rFonts w:ascii="宋体" w:hAnsi="宋体"/>
                <w:sz w:val="22"/>
                <w:szCs w:val="22"/>
              </w:rPr>
            </w:pPr>
            <w:r>
              <w:rPr>
                <w:rFonts w:ascii="宋体" w:hAnsi="宋体" w:hint="eastAsia"/>
                <w:sz w:val="22"/>
                <w:szCs w:val="22"/>
              </w:rPr>
              <w:t>依据</w:t>
            </w:r>
            <w:r>
              <w:rPr>
                <w:rFonts w:ascii="宋体" w:hAnsi="宋体" w:hint="eastAsia"/>
                <w:sz w:val="22"/>
                <w:szCs w:val="22"/>
              </w:rPr>
              <w:t>GB/T 45577</w:t>
            </w:r>
            <w:r>
              <w:rPr>
                <w:rFonts w:ascii="宋体" w:hAnsi="宋体" w:hint="eastAsia"/>
                <w:sz w:val="22"/>
                <w:szCs w:val="22"/>
              </w:rPr>
              <w:t>—</w:t>
            </w:r>
            <w:r>
              <w:rPr>
                <w:rFonts w:ascii="宋体" w:hAnsi="宋体" w:hint="eastAsia"/>
                <w:sz w:val="22"/>
                <w:szCs w:val="22"/>
              </w:rPr>
              <w:t>2025</w:t>
            </w:r>
            <w:r>
              <w:rPr>
                <w:rFonts w:ascii="宋体" w:hAnsi="宋体" w:hint="eastAsia"/>
                <w:sz w:val="22"/>
                <w:szCs w:val="22"/>
              </w:rPr>
              <w:t>《数据安全技术数据安全风险评估方法》或行业规范，对全量重要数据开展全覆盖风险评估，对一般数据按科学抽样原则开展抽样评估。</w:t>
            </w:r>
          </w:p>
          <w:p w:rsidR="000A298E" w:rsidRDefault="001D78B6">
            <w:pPr>
              <w:pStyle w:val="aa"/>
              <w:numPr>
                <w:ilvl w:val="0"/>
                <w:numId w:val="2"/>
              </w:numPr>
              <w:ind w:left="0" w:firstLine="440"/>
              <w:rPr>
                <w:rFonts w:ascii="宋体" w:hAnsi="宋体"/>
                <w:sz w:val="22"/>
                <w:szCs w:val="22"/>
              </w:rPr>
            </w:pPr>
            <w:r>
              <w:rPr>
                <w:rFonts w:ascii="宋体" w:hAnsi="宋体" w:hint="eastAsia"/>
                <w:sz w:val="22"/>
                <w:szCs w:val="22"/>
              </w:rPr>
              <w:t>输出《数据安全风</w:t>
            </w:r>
            <w:r>
              <w:rPr>
                <w:rFonts w:ascii="宋体" w:hAnsi="宋体" w:hint="eastAsia"/>
                <w:sz w:val="22"/>
                <w:szCs w:val="22"/>
              </w:rPr>
              <w:t xml:space="preserve"> </w:t>
            </w:r>
            <w:r>
              <w:rPr>
                <w:rFonts w:ascii="宋体" w:hAnsi="宋体" w:hint="eastAsia"/>
                <w:sz w:val="22"/>
                <w:szCs w:val="22"/>
              </w:rPr>
              <w:t>险评估报告》，并形成风险清单、风险描述、影响分析、风险等级、责任部门、现有控制措施、整改建议。</w:t>
            </w:r>
          </w:p>
          <w:p w:rsidR="000A298E" w:rsidRDefault="001D78B6">
            <w:pPr>
              <w:pStyle w:val="aa"/>
              <w:ind w:firstLineChars="0" w:firstLine="0"/>
              <w:rPr>
                <w:rFonts w:ascii="宋体" w:hAnsi="宋体"/>
                <w:sz w:val="22"/>
                <w:szCs w:val="22"/>
              </w:rPr>
            </w:pPr>
            <w:r>
              <w:rPr>
                <w:rFonts w:ascii="宋体" w:hAnsi="宋体" w:hint="eastAsia"/>
                <w:sz w:val="22"/>
                <w:szCs w:val="22"/>
              </w:rPr>
              <w:t>（三）</w:t>
            </w:r>
            <w:r>
              <w:rPr>
                <w:rFonts w:ascii="宋体" w:hAnsi="宋体" w:hint="eastAsia"/>
                <w:b/>
                <w:bCs/>
                <w:sz w:val="22"/>
                <w:szCs w:val="22"/>
              </w:rPr>
              <w:t>持续性工作：</w:t>
            </w:r>
            <w:r>
              <w:rPr>
                <w:rFonts w:ascii="宋体" w:hAnsi="宋体" w:hint="eastAsia"/>
                <w:sz w:val="22"/>
                <w:szCs w:val="22"/>
              </w:rPr>
              <w:t>针对数据安全风险评估发现的问题，在服务期内协助医院进行整改工作，并持续提供指导建议。</w:t>
            </w:r>
          </w:p>
          <w:p w:rsidR="000A298E" w:rsidRDefault="001D78B6">
            <w:pPr>
              <w:pStyle w:val="aa"/>
              <w:numPr>
                <w:ilvl w:val="0"/>
                <w:numId w:val="3"/>
              </w:numPr>
              <w:ind w:left="0" w:firstLine="440"/>
              <w:rPr>
                <w:rFonts w:ascii="宋体" w:hAnsi="宋体"/>
                <w:sz w:val="22"/>
                <w:szCs w:val="22"/>
              </w:rPr>
            </w:pPr>
            <w:r>
              <w:rPr>
                <w:rFonts w:ascii="宋体" w:hAnsi="宋体" w:hint="eastAsia"/>
                <w:sz w:val="22"/>
                <w:szCs w:val="22"/>
              </w:rPr>
              <w:t xml:space="preserve"> </w:t>
            </w:r>
            <w:r>
              <w:rPr>
                <w:rFonts w:ascii="宋体" w:hAnsi="宋体" w:hint="eastAsia"/>
                <w:sz w:val="22"/>
                <w:szCs w:val="22"/>
              </w:rPr>
              <w:t>针对风险评估发现的全部高、中、低风险问</w:t>
            </w:r>
            <w:r>
              <w:rPr>
                <w:rFonts w:ascii="宋体" w:hAnsi="宋体" w:hint="eastAsia"/>
                <w:sz w:val="22"/>
                <w:szCs w:val="22"/>
              </w:rPr>
              <w:t>题，逐一制定可落地整改方案与整改措施。</w:t>
            </w:r>
          </w:p>
          <w:p w:rsidR="000A298E" w:rsidRDefault="001D78B6">
            <w:pPr>
              <w:pStyle w:val="aa"/>
              <w:numPr>
                <w:ilvl w:val="0"/>
                <w:numId w:val="3"/>
              </w:numPr>
              <w:ind w:left="0" w:firstLine="440"/>
              <w:rPr>
                <w:rFonts w:ascii="宋体" w:hAnsi="宋体"/>
                <w:sz w:val="22"/>
                <w:szCs w:val="22"/>
              </w:rPr>
            </w:pPr>
            <w:r>
              <w:rPr>
                <w:rFonts w:ascii="宋体" w:hAnsi="宋体" w:hint="eastAsia"/>
                <w:sz w:val="22"/>
                <w:szCs w:val="22"/>
              </w:rPr>
              <w:t>协助医院开展整改实施指导，对整改过程提供技术咨询、配置核查、方案优化、现场支持。</w:t>
            </w:r>
          </w:p>
          <w:p w:rsidR="000A298E" w:rsidRDefault="001D78B6">
            <w:pPr>
              <w:pStyle w:val="aa"/>
              <w:numPr>
                <w:ilvl w:val="0"/>
                <w:numId w:val="3"/>
              </w:numPr>
              <w:ind w:left="0" w:firstLine="440"/>
              <w:rPr>
                <w:rFonts w:ascii="宋体" w:hAnsi="宋体"/>
                <w:sz w:val="22"/>
                <w:szCs w:val="22"/>
              </w:rPr>
            </w:pPr>
            <w:r>
              <w:rPr>
                <w:rFonts w:ascii="宋体" w:hAnsi="宋体" w:hint="eastAsia"/>
                <w:sz w:val="22"/>
                <w:szCs w:val="22"/>
              </w:rPr>
              <w:t>对整改结果进行复测验证，确认风险已降低或消除，形成整改闭环。</w:t>
            </w:r>
          </w:p>
          <w:p w:rsidR="000A298E" w:rsidRDefault="001D78B6">
            <w:pPr>
              <w:pStyle w:val="aa"/>
              <w:numPr>
                <w:ilvl w:val="0"/>
                <w:numId w:val="3"/>
              </w:numPr>
              <w:ind w:left="0" w:firstLine="440"/>
              <w:rPr>
                <w:rFonts w:ascii="宋体" w:hAnsi="宋体"/>
                <w:sz w:val="22"/>
                <w:szCs w:val="22"/>
              </w:rPr>
            </w:pPr>
            <w:r>
              <w:rPr>
                <w:rFonts w:ascii="宋体" w:hAnsi="宋体" w:hint="eastAsia"/>
                <w:sz w:val="22"/>
                <w:szCs w:val="22"/>
              </w:rPr>
              <w:t>提供数据安全管理制度、流程、操作规程的完善建议（如数据安全管理办法、脱敏管理、权限管理、共享审批、应急预案等）。</w:t>
            </w:r>
          </w:p>
          <w:p w:rsidR="000A298E" w:rsidRDefault="001D78B6">
            <w:pPr>
              <w:pStyle w:val="aa"/>
              <w:numPr>
                <w:ilvl w:val="0"/>
                <w:numId w:val="3"/>
              </w:numPr>
              <w:ind w:left="0" w:firstLine="440"/>
              <w:rPr>
                <w:rFonts w:ascii="宋体" w:hAnsi="宋体"/>
                <w:sz w:val="22"/>
                <w:szCs w:val="22"/>
              </w:rPr>
            </w:pPr>
            <w:r>
              <w:rPr>
                <w:rFonts w:ascii="宋体" w:hAnsi="宋体" w:hint="eastAsia"/>
                <w:sz w:val="22"/>
                <w:szCs w:val="22"/>
              </w:rPr>
              <w:t>定期提供数据安全持续优化建议，保障数据安全管理能力持续符合法规与监管要求。</w:t>
            </w:r>
          </w:p>
          <w:p w:rsidR="000A298E" w:rsidRDefault="004A27F4">
            <w:pPr>
              <w:pStyle w:val="aa"/>
              <w:ind w:firstLineChars="0" w:firstLine="0"/>
              <w:rPr>
                <w:rFonts w:ascii="宋体" w:hAnsi="宋体"/>
                <w:b/>
                <w:bCs/>
                <w:color w:val="000000"/>
                <w:sz w:val="24"/>
              </w:rPr>
            </w:pPr>
            <w:r>
              <w:rPr>
                <w:rFonts w:ascii="宋体" w:hAnsi="宋体" w:hint="eastAsia"/>
                <w:b/>
                <w:bCs/>
                <w:color w:val="000000"/>
                <w:sz w:val="24"/>
              </w:rPr>
              <w:t>二、能力要求：</w:t>
            </w:r>
          </w:p>
          <w:p w:rsidR="000A298E" w:rsidRDefault="001D78B6">
            <w:pPr>
              <w:pStyle w:val="aa"/>
              <w:ind w:firstLine="440"/>
              <w:rPr>
                <w:rFonts w:ascii="宋体" w:hAnsi="宋体"/>
                <w:sz w:val="22"/>
                <w:szCs w:val="22"/>
              </w:rPr>
            </w:pPr>
            <w:r>
              <w:rPr>
                <w:rFonts w:ascii="宋体" w:hAnsi="宋体" w:hint="eastAsia"/>
                <w:sz w:val="22"/>
                <w:szCs w:val="22"/>
              </w:rPr>
              <w:t>1.</w:t>
            </w:r>
            <w:r w:rsidR="004A27F4">
              <w:rPr>
                <w:rFonts w:ascii="Segoe UI Symbol" w:hAnsi="Segoe UI Symbol" w:cs="Segoe UI Symbol"/>
              </w:rPr>
              <w:t>★</w:t>
            </w:r>
            <w:r>
              <w:rPr>
                <w:rFonts w:ascii="宋体" w:hAnsi="宋体" w:hint="eastAsia"/>
                <w:sz w:val="22"/>
                <w:szCs w:val="22"/>
              </w:rPr>
              <w:t>具有中国通信协会颁发的网络安全服务能力评定证书</w:t>
            </w:r>
            <w:r>
              <w:rPr>
                <w:rFonts w:ascii="宋体" w:hAnsi="宋体" w:hint="eastAsia"/>
                <w:sz w:val="22"/>
                <w:szCs w:val="22"/>
              </w:rPr>
              <w:t>(</w:t>
            </w:r>
            <w:r>
              <w:rPr>
                <w:rFonts w:ascii="宋体" w:hAnsi="宋体" w:hint="eastAsia"/>
                <w:sz w:val="22"/>
                <w:szCs w:val="22"/>
              </w:rPr>
              <w:t>风险评估二级或一级</w:t>
            </w:r>
            <w:r>
              <w:rPr>
                <w:rFonts w:ascii="宋体" w:hAnsi="宋体" w:hint="eastAsia"/>
                <w:sz w:val="22"/>
                <w:szCs w:val="22"/>
              </w:rPr>
              <w:t>)</w:t>
            </w:r>
          </w:p>
          <w:p w:rsidR="000A298E" w:rsidRDefault="001D78B6">
            <w:pPr>
              <w:pStyle w:val="aa"/>
              <w:ind w:firstLine="440"/>
              <w:rPr>
                <w:rFonts w:ascii="宋体" w:hAnsi="宋体"/>
                <w:szCs w:val="21"/>
              </w:rPr>
            </w:pPr>
            <w:r>
              <w:rPr>
                <w:rFonts w:ascii="宋体" w:hAnsi="宋体" w:hint="eastAsia"/>
                <w:sz w:val="22"/>
                <w:szCs w:val="22"/>
              </w:rPr>
              <w:t>2.</w:t>
            </w:r>
            <w:r w:rsidR="004A27F4">
              <w:rPr>
                <w:rFonts w:ascii="Segoe UI Symbol" w:hAnsi="Segoe UI Symbol" w:cs="Segoe UI Symbol"/>
              </w:rPr>
              <w:t>★</w:t>
            </w:r>
            <w:r>
              <w:rPr>
                <w:rFonts w:ascii="宋体" w:hAnsi="宋体" w:hint="eastAsia"/>
                <w:sz w:val="22"/>
                <w:szCs w:val="22"/>
              </w:rPr>
              <w:t>具有数据安全服务能力评定资格证书（数据安</w:t>
            </w:r>
            <w:r>
              <w:rPr>
                <w:rFonts w:ascii="宋体" w:hAnsi="宋体" w:hint="eastAsia"/>
                <w:sz w:val="22"/>
                <w:szCs w:val="22"/>
              </w:rPr>
              <w:t>全评估二级）</w:t>
            </w: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r w:rsidR="000A298E">
        <w:trPr>
          <w:trHeight w:val="1951"/>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0A298E" w:rsidRDefault="000A298E">
            <w:pPr>
              <w:widowControl/>
              <w:spacing w:line="360" w:lineRule="auto"/>
              <w:jc w:val="center"/>
              <w:rPr>
                <w:rFonts w:ascii="宋体" w:hAnsi="宋体"/>
                <w:b/>
                <w:bCs/>
                <w:color w:val="000000"/>
                <w:sz w:val="32"/>
                <w:szCs w:val="32"/>
              </w:rPr>
            </w:pPr>
          </w:p>
        </w:tc>
        <w:tc>
          <w:tcPr>
            <w:tcW w:w="2536"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c>
          <w:tcPr>
            <w:tcW w:w="6531" w:type="dxa"/>
            <w:vMerge/>
            <w:tcBorders>
              <w:top w:val="single" w:sz="4" w:space="0" w:color="000000"/>
              <w:left w:val="single" w:sz="4" w:space="0" w:color="000000"/>
              <w:bottom w:val="single" w:sz="4" w:space="0" w:color="000000"/>
              <w:right w:val="single" w:sz="4" w:space="0" w:color="000000"/>
            </w:tcBorders>
            <w:vAlign w:val="center"/>
          </w:tcPr>
          <w:p w:rsidR="000A298E" w:rsidRDefault="000A298E">
            <w:pPr>
              <w:jc w:val="center"/>
              <w:rPr>
                <w:rFonts w:ascii="宋体" w:hAnsi="宋体"/>
                <w:color w:val="000000"/>
                <w:sz w:val="24"/>
              </w:rPr>
            </w:pPr>
          </w:p>
        </w:tc>
      </w:tr>
    </w:tbl>
    <w:p w:rsidR="000A298E" w:rsidRDefault="000A298E"/>
    <w:sectPr w:rsidR="000A298E" w:rsidSect="00133F5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8B6" w:rsidRDefault="001D78B6" w:rsidP="00845415">
      <w:r>
        <w:separator/>
      </w:r>
    </w:p>
  </w:endnote>
  <w:endnote w:type="continuationSeparator" w:id="1">
    <w:p w:rsidR="001D78B6" w:rsidRDefault="001D78B6" w:rsidP="00845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8B6" w:rsidRDefault="001D78B6" w:rsidP="00845415">
      <w:r>
        <w:separator/>
      </w:r>
    </w:p>
  </w:footnote>
  <w:footnote w:type="continuationSeparator" w:id="1">
    <w:p w:rsidR="001D78B6" w:rsidRDefault="001D78B6" w:rsidP="008454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1972F4"/>
    <w:multiLevelType w:val="singleLevel"/>
    <w:tmpl w:val="E91972F4"/>
    <w:lvl w:ilvl="0">
      <w:start w:val="1"/>
      <w:numFmt w:val="decimal"/>
      <w:suff w:val="nothing"/>
      <w:lvlText w:val="%1."/>
      <w:lvlJc w:val="left"/>
      <w:pPr>
        <w:ind w:left="425" w:hanging="425"/>
      </w:pPr>
      <w:rPr>
        <w:rFonts w:hint="default"/>
      </w:rPr>
    </w:lvl>
  </w:abstractNum>
  <w:abstractNum w:abstractNumId="1">
    <w:nsid w:val="2364E716"/>
    <w:multiLevelType w:val="singleLevel"/>
    <w:tmpl w:val="2364E716"/>
    <w:lvl w:ilvl="0">
      <w:start w:val="1"/>
      <w:numFmt w:val="decimal"/>
      <w:suff w:val="nothing"/>
      <w:lvlText w:val="%1."/>
      <w:lvlJc w:val="left"/>
      <w:pPr>
        <w:ind w:left="425" w:hanging="425"/>
      </w:pPr>
      <w:rPr>
        <w:rFonts w:hint="default"/>
      </w:rPr>
    </w:lvl>
  </w:abstractNum>
  <w:abstractNum w:abstractNumId="2">
    <w:nsid w:val="4840C084"/>
    <w:multiLevelType w:val="singleLevel"/>
    <w:tmpl w:val="4840C084"/>
    <w:lvl w:ilvl="0">
      <w:start w:val="1"/>
      <w:numFmt w:val="decimal"/>
      <w:suff w:val="nothing"/>
      <w:lvlText w:val="%1."/>
      <w:lvlJc w:val="left"/>
      <w:pPr>
        <w:ind w:left="425" w:hanging="425"/>
      </w:pPr>
      <w:rPr>
        <w:rFonts w:hint="default"/>
      </w:rPr>
    </w:lvl>
  </w:abstractNum>
  <w:abstractNum w:abstractNumId="3">
    <w:nsid w:val="4EAC6413"/>
    <w:multiLevelType w:val="singleLevel"/>
    <w:tmpl w:val="4EAC6413"/>
    <w:lvl w:ilvl="0">
      <w:start w:val="3"/>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A47"/>
    <w:rsid w:val="F8D5463B"/>
    <w:rsid w:val="FE6FB57C"/>
    <w:rsid w:val="00001F39"/>
    <w:rsid w:val="00066EDC"/>
    <w:rsid w:val="000A298E"/>
    <w:rsid w:val="00133F51"/>
    <w:rsid w:val="001652F7"/>
    <w:rsid w:val="001A5F61"/>
    <w:rsid w:val="001B29BE"/>
    <w:rsid w:val="001C6E08"/>
    <w:rsid w:val="001D78B6"/>
    <w:rsid w:val="0022039E"/>
    <w:rsid w:val="00252C4B"/>
    <w:rsid w:val="00350ED4"/>
    <w:rsid w:val="0036268E"/>
    <w:rsid w:val="00381AE5"/>
    <w:rsid w:val="00431BB8"/>
    <w:rsid w:val="00456FFB"/>
    <w:rsid w:val="004570D2"/>
    <w:rsid w:val="004626B6"/>
    <w:rsid w:val="004732DD"/>
    <w:rsid w:val="00493A47"/>
    <w:rsid w:val="004A27F4"/>
    <w:rsid w:val="00564A0D"/>
    <w:rsid w:val="005926A6"/>
    <w:rsid w:val="0061399E"/>
    <w:rsid w:val="0065122A"/>
    <w:rsid w:val="00677B19"/>
    <w:rsid w:val="006A1BEC"/>
    <w:rsid w:val="006D19C1"/>
    <w:rsid w:val="006E55F2"/>
    <w:rsid w:val="007B3D5E"/>
    <w:rsid w:val="007B46EB"/>
    <w:rsid w:val="00845415"/>
    <w:rsid w:val="00854442"/>
    <w:rsid w:val="00870534"/>
    <w:rsid w:val="008732BF"/>
    <w:rsid w:val="008A4F29"/>
    <w:rsid w:val="008C7207"/>
    <w:rsid w:val="008D43F7"/>
    <w:rsid w:val="00924CDE"/>
    <w:rsid w:val="009A27CA"/>
    <w:rsid w:val="009D5E47"/>
    <w:rsid w:val="009E07DA"/>
    <w:rsid w:val="009F6690"/>
    <w:rsid w:val="00A05868"/>
    <w:rsid w:val="00A94DCE"/>
    <w:rsid w:val="00AE27D4"/>
    <w:rsid w:val="00B01A9F"/>
    <w:rsid w:val="00BA549D"/>
    <w:rsid w:val="00BB61EE"/>
    <w:rsid w:val="00C05A08"/>
    <w:rsid w:val="00C546E9"/>
    <w:rsid w:val="00C80EFD"/>
    <w:rsid w:val="00CA77AD"/>
    <w:rsid w:val="00CD5669"/>
    <w:rsid w:val="00DD4E83"/>
    <w:rsid w:val="00EE2730"/>
    <w:rsid w:val="00FB236C"/>
    <w:rsid w:val="00FB5537"/>
    <w:rsid w:val="02544BD0"/>
    <w:rsid w:val="0E236ED2"/>
    <w:rsid w:val="0FEA4A31"/>
    <w:rsid w:val="1922234A"/>
    <w:rsid w:val="1CA86413"/>
    <w:rsid w:val="201505B0"/>
    <w:rsid w:val="22E441DF"/>
    <w:rsid w:val="24E53660"/>
    <w:rsid w:val="274C2B5A"/>
    <w:rsid w:val="32915685"/>
    <w:rsid w:val="34A613EA"/>
    <w:rsid w:val="3DF41725"/>
    <w:rsid w:val="42AE426E"/>
    <w:rsid w:val="456F5F37"/>
    <w:rsid w:val="4B2C3124"/>
    <w:rsid w:val="4C2F12D2"/>
    <w:rsid w:val="4DD352E7"/>
    <w:rsid w:val="51614929"/>
    <w:rsid w:val="590810BD"/>
    <w:rsid w:val="5F122487"/>
    <w:rsid w:val="63F4076A"/>
    <w:rsid w:val="644F5E92"/>
    <w:rsid w:val="686A57E2"/>
    <w:rsid w:val="705F7A5E"/>
    <w:rsid w:val="71F84BE9"/>
    <w:rsid w:val="7AA933D2"/>
    <w:rsid w:val="7F0C5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33F51"/>
    <w:pPr>
      <w:widowControl w:val="0"/>
      <w:jc w:val="both"/>
    </w:pPr>
    <w:rPr>
      <w:rFonts w:ascii="Calibri" w:hAnsi="Calibri"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rsid w:val="00133F51"/>
    <w:pPr>
      <w:ind w:firstLine="420"/>
    </w:pPr>
    <w:rPr>
      <w:szCs w:val="21"/>
    </w:rPr>
  </w:style>
  <w:style w:type="paragraph" w:styleId="a4">
    <w:name w:val="Body Text"/>
    <w:basedOn w:val="a"/>
    <w:qFormat/>
    <w:rsid w:val="00133F51"/>
    <w:pPr>
      <w:spacing w:after="120"/>
    </w:pPr>
  </w:style>
  <w:style w:type="paragraph" w:styleId="a5">
    <w:name w:val="annotation text"/>
    <w:basedOn w:val="a"/>
    <w:qFormat/>
    <w:rsid w:val="00133F51"/>
    <w:pPr>
      <w:jc w:val="left"/>
    </w:pPr>
  </w:style>
  <w:style w:type="paragraph" w:styleId="a6">
    <w:name w:val="footer"/>
    <w:basedOn w:val="a"/>
    <w:link w:val="Char"/>
    <w:qFormat/>
    <w:rsid w:val="00133F51"/>
    <w:pPr>
      <w:tabs>
        <w:tab w:val="center" w:pos="4153"/>
        <w:tab w:val="right" w:pos="8306"/>
      </w:tabs>
      <w:snapToGrid w:val="0"/>
      <w:jc w:val="left"/>
    </w:pPr>
    <w:rPr>
      <w:sz w:val="18"/>
      <w:szCs w:val="18"/>
    </w:rPr>
  </w:style>
  <w:style w:type="paragraph" w:styleId="a7">
    <w:name w:val="header"/>
    <w:basedOn w:val="a"/>
    <w:link w:val="Char0"/>
    <w:qFormat/>
    <w:rsid w:val="00133F51"/>
    <w:pPr>
      <w:pBdr>
        <w:bottom w:val="single" w:sz="6" w:space="1" w:color="auto"/>
      </w:pBdr>
      <w:tabs>
        <w:tab w:val="center" w:pos="4153"/>
        <w:tab w:val="right" w:pos="8306"/>
      </w:tabs>
      <w:snapToGrid w:val="0"/>
      <w:jc w:val="center"/>
    </w:pPr>
    <w:rPr>
      <w:sz w:val="18"/>
      <w:szCs w:val="18"/>
    </w:rPr>
  </w:style>
  <w:style w:type="character" w:styleId="a8">
    <w:name w:val="Strong"/>
    <w:basedOn w:val="a1"/>
    <w:qFormat/>
    <w:rsid w:val="00133F51"/>
    <w:rPr>
      <w:b/>
    </w:rPr>
  </w:style>
  <w:style w:type="character" w:styleId="a9">
    <w:name w:val="annotation reference"/>
    <w:basedOn w:val="a1"/>
    <w:qFormat/>
    <w:rsid w:val="00133F51"/>
    <w:rPr>
      <w:sz w:val="21"/>
      <w:szCs w:val="21"/>
    </w:rPr>
  </w:style>
  <w:style w:type="character" w:customStyle="1" w:styleId="font81">
    <w:name w:val="font81"/>
    <w:basedOn w:val="a1"/>
    <w:qFormat/>
    <w:rsid w:val="00133F51"/>
    <w:rPr>
      <w:rFonts w:ascii="Wingdings" w:hAnsi="Wingdings" w:cs="Wingdings"/>
      <w:color w:val="000000"/>
      <w:sz w:val="24"/>
      <w:szCs w:val="24"/>
      <w:u w:val="none"/>
    </w:rPr>
  </w:style>
  <w:style w:type="character" w:customStyle="1" w:styleId="font11">
    <w:name w:val="font11"/>
    <w:basedOn w:val="a1"/>
    <w:qFormat/>
    <w:rsid w:val="00133F51"/>
    <w:rPr>
      <w:rFonts w:ascii="宋体" w:eastAsia="宋体" w:hAnsi="宋体" w:cs="宋体" w:hint="eastAsia"/>
      <w:color w:val="000000"/>
      <w:sz w:val="24"/>
      <w:szCs w:val="24"/>
      <w:u w:val="none"/>
    </w:rPr>
  </w:style>
  <w:style w:type="character" w:customStyle="1" w:styleId="font01">
    <w:name w:val="font01"/>
    <w:basedOn w:val="a1"/>
    <w:qFormat/>
    <w:rsid w:val="00133F51"/>
    <w:rPr>
      <w:rFonts w:ascii="宋体" w:eastAsia="宋体" w:hAnsi="宋体" w:cs="宋体" w:hint="eastAsia"/>
      <w:color w:val="000000"/>
      <w:sz w:val="24"/>
      <w:szCs w:val="24"/>
      <w:u w:val="none"/>
    </w:rPr>
  </w:style>
  <w:style w:type="character" w:customStyle="1" w:styleId="Char0">
    <w:name w:val="页眉 Char"/>
    <w:basedOn w:val="a1"/>
    <w:link w:val="a7"/>
    <w:qFormat/>
    <w:rsid w:val="00133F51"/>
    <w:rPr>
      <w:rFonts w:ascii="Calibri" w:hAnsi="Calibri" w:cs="宋体"/>
      <w:kern w:val="2"/>
      <w:sz w:val="18"/>
      <w:szCs w:val="18"/>
    </w:rPr>
  </w:style>
  <w:style w:type="character" w:customStyle="1" w:styleId="Char">
    <w:name w:val="页脚 Char"/>
    <w:basedOn w:val="a1"/>
    <w:link w:val="a6"/>
    <w:qFormat/>
    <w:rsid w:val="00133F51"/>
    <w:rPr>
      <w:rFonts w:ascii="Calibri" w:hAnsi="Calibri" w:cs="宋体"/>
      <w:kern w:val="2"/>
      <w:sz w:val="18"/>
      <w:szCs w:val="18"/>
    </w:rPr>
  </w:style>
  <w:style w:type="paragraph" w:styleId="aa">
    <w:name w:val="List Paragraph"/>
    <w:basedOn w:val="a"/>
    <w:uiPriority w:val="99"/>
    <w:unhideWhenUsed/>
    <w:qFormat/>
    <w:rsid w:val="00133F5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3</cp:revision>
  <cp:lastPrinted>2025-08-18T08:54:00Z</cp:lastPrinted>
  <dcterms:created xsi:type="dcterms:W3CDTF">2026-04-28T01:05:00Z</dcterms:created>
  <dcterms:modified xsi:type="dcterms:W3CDTF">2026-04-28T01:05:00Z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DB9169AF5AFD40DB91C058F5B215C869_13</vt:lpwstr>
  </property>
  <property fmtid="{D5CDD505-2E9C-101B-9397-08002B2CF9AE}" pid="4" name="KSOTemplateDocerSaveRecord">
    <vt:lpwstr>eyJoZGlkIjoiMzEwNTM5NzYwMDRjMzkwZTVkZjY2ODkwMGIxNGU0OTUiLCJ1c2VySWQiOiIzMjc5NDYzMTEifQ==</vt:lpwstr>
  </property>
</Properties>
</file>