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0" w:after="120"/>
        <w:ind w:left="420" w:leftChars="0" w:firstLine="420" w:firstLineChars="0"/>
        <w:jc w:val="left"/>
        <w:rPr>
          <w:color w:val="000000"/>
        </w:rPr>
      </w:pPr>
      <w:r>
        <w:rPr>
          <w:rFonts w:hint="eastAsia" w:cs="黑体"/>
          <w:b/>
          <w:bCs/>
          <w:color w:val="000000"/>
          <w:sz w:val="32"/>
          <w:szCs w:val="32"/>
          <w:lang w:val="en-US" w:eastAsia="zh-CN"/>
        </w:rPr>
        <w:t>中国医学科学院肿瘤医院安全设备维保服务</w:t>
      </w: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t>采购需求</w:t>
      </w:r>
    </w:p>
    <w:p>
      <w:pPr>
        <w:pStyle w:val="3"/>
        <w:spacing w:before="240" w:after="120"/>
        <w:rPr>
          <w:color w:val="000000"/>
        </w:rPr>
      </w:pP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维保项目</w:t>
      </w: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>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3"/>
        <w:gridCol w:w="3094"/>
        <w:gridCol w:w="3360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1F497D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黑体" w:hAnsi="黑体" w:eastAsia="黑体" w:cs="黑体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1F497D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黑体" w:hAnsi="黑体" w:eastAsia="黑体" w:cs="黑体"/>
                <w:b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1F497D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黑体" w:hAnsi="黑体" w:eastAsia="黑体" w:cs="黑体"/>
                <w:b/>
                <w:bCs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1F497D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黑体" w:hAnsi="黑体" w:eastAsia="黑体" w:cs="黑体"/>
                <w:b/>
                <w:bCs/>
                <w:color w:val="000000"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VDI授权与配件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虚拟桌面安全设备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VDS-R-5050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4套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超融合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aServer-R-2305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7套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交换机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S7706 / S7703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负载均衡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ADC4600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负载均衡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AD1000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山石防火墙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SG-6000-E3965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长亭漏洞扫描设备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绿盟漏洞扫描设备（一）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绿盟漏洞扫描设备（二）</w:t>
            </w:r>
          </w:p>
        </w:tc>
        <w:tc>
          <w:tcPr>
            <w:tcW w:w="1966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DCE6F1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1台</w:t>
            </w:r>
          </w:p>
        </w:tc>
      </w:tr>
    </w:tbl>
    <w:p>
      <w:pPr>
        <w:pStyle w:val="3"/>
        <w:spacing w:before="240" w:after="120"/>
        <w:rPr>
          <w:color w:val="000000"/>
        </w:rPr>
      </w:pP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维保详细说明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2.1</w:t>
      </w:r>
      <w:r>
        <w:rPr>
          <w:rFonts w:hint="eastAsia" w:cs="黑体"/>
          <w:b/>
          <w:bCs/>
          <w:color w:val="000000"/>
          <w:sz w:val="26"/>
          <w:szCs w:val="26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VDI授权与配件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维保对象：VDI授权与配件，共1套。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（1）在维保期内，提供VDI软件的版本更新与升级服务；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（2）提供技术咨询、故障响应及解决等运维支持；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（3）维保有效期：1年。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2.2</w:t>
      </w:r>
      <w:r>
        <w:rPr>
          <w:rFonts w:hint="eastAsia" w:cs="黑体"/>
          <w:b/>
          <w:bCs/>
          <w:color w:val="000000"/>
          <w:sz w:val="26"/>
          <w:szCs w:val="26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虚拟桌面安全设备VDS-R-5050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维保对象：VDS-R-5050，共4套。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（1）提供软件新版本的更新推送与升级指导；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（2）设备硬件出现质量问题时提供更换或修复服务；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（3）提供原厂备用零部件的保障供应；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（4）整机续保：维保有效期：1年。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2.3</w:t>
      </w:r>
      <w:r>
        <w:rPr>
          <w:rFonts w:hint="eastAsia" w:cs="黑体"/>
          <w:b/>
          <w:bCs/>
          <w:color w:val="000000"/>
          <w:sz w:val="26"/>
          <w:szCs w:val="26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aServer-R-2305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维保对象：aServer-R-2305，共7套。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服务内容：软件升级、硬件质保、备件服务，维保有效期1年。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2.4</w:t>
      </w:r>
      <w:r>
        <w:rPr>
          <w:rFonts w:hint="eastAsia" w:cs="黑体"/>
          <w:b/>
          <w:bCs/>
          <w:color w:val="000000"/>
          <w:sz w:val="26"/>
          <w:szCs w:val="26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交换机 S7706 / S7703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维保对象：交换机（含S7706和S7703型号），共4台。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（1）整机续保：对上述4台交换机实施整机维保续期；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（2）续保有效期恢复并覆盖至下一个服务年度。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2.5 负载均衡 ADC4600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维保对象：负载均衡设备ADC4600，共1台。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服务内容：整机续保，有效期恢复并覆盖至下一个服务年度。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2.6 负载均衡 AD1000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维保对象：负载均衡设备AD1000，共2台。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服务内容：整机续保，有效期恢复并覆盖至下一个服务年度。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2.7 山石防火墙 SG-6000-E3965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维保对象：山石防火墙SG-6000-E3965，共2台。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（1）整机续保：含软件升级服务；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（2）APP特征库升级：维保期内提供应用特征库的持续更新服务；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（3）续保有效期恢复并覆盖至下一个服务年度。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2.8</w:t>
      </w:r>
      <w:r>
        <w:rPr>
          <w:rFonts w:hint="eastAsia" w:cs="黑体"/>
          <w:b/>
          <w:bCs/>
          <w:color w:val="000000"/>
          <w:sz w:val="26"/>
          <w:szCs w:val="26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长亭漏洞扫描设备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维保对象：长亭漏洞扫描设备，共1台。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（1）功能扩展：增加基线审核功能模块、2高1弱模块等功能；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（2）整机续保：维保有效期1年。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2.9</w:t>
      </w:r>
      <w:r>
        <w:rPr>
          <w:rFonts w:hint="eastAsia" w:cs="黑体"/>
          <w:b/>
          <w:bCs/>
          <w:color w:val="000000"/>
          <w:sz w:val="26"/>
          <w:szCs w:val="26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绿盟漏洞扫描设备（一）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维保对象：绿盟漏洞扫描设备，共1台。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</w:t>
      </w:r>
    </w:p>
    <w:p>
      <w:pPr>
        <w:spacing w:before="60" w:after="60" w:line="360" w:lineRule="auto"/>
        <w:ind w:left="420"/>
        <w:rPr>
          <w:rFonts w:hint="eastAsia" w:eastAsia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（1）功能扩展：增加Web漏洞扫描功能</w:t>
      </w:r>
      <w:r>
        <w:rPr>
          <w:rFonts w:hint="eastAsia" w:cs="宋体"/>
          <w:color w:val="000000"/>
          <w:sz w:val="24"/>
          <w:szCs w:val="24"/>
          <w:lang w:eastAsia="zh-CN"/>
        </w:rPr>
        <w:t>。</w:t>
      </w:r>
    </w:p>
    <w:p>
      <w:pPr>
        <w:pStyle w:val="4"/>
        <w:spacing w:before="240" w:after="120"/>
        <w:rPr>
          <w:color w:val="000000"/>
        </w:rPr>
      </w:pP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2.10</w:t>
      </w:r>
      <w:r>
        <w:rPr>
          <w:rFonts w:hint="eastAsia" w:cs="黑体"/>
          <w:b/>
          <w:bCs/>
          <w:color w:val="000000"/>
          <w:sz w:val="26"/>
          <w:szCs w:val="26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z w:val="26"/>
          <w:szCs w:val="26"/>
        </w:rPr>
        <w:t>绿盟漏洞扫描设备（二）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维保对象：绿盟漏洞扫描设备，共1台。</w:t>
      </w:r>
    </w:p>
    <w:p>
      <w:pPr>
        <w:spacing w:before="80" w:after="80" w:line="360" w:lineRule="auto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服务内容：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（1）功能扩展：增加Web漏洞扫描功能和基线扫描功能；</w:t>
      </w:r>
    </w:p>
    <w:p>
      <w:pPr>
        <w:spacing w:before="60" w:after="60" w:line="360" w:lineRule="auto"/>
        <w:ind w:left="42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（2）整机续保：维保有效期1年。</w:t>
      </w:r>
    </w:p>
    <w:p>
      <w:pPr>
        <w:pStyle w:val="3"/>
        <w:spacing w:before="240" w:after="120"/>
        <w:rPr>
          <w:color w:val="000000"/>
        </w:rPr>
      </w:pP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>三、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原厂授权及服务承诺</w:t>
      </w:r>
    </w:p>
    <w:p>
      <w:pPr>
        <w:spacing w:before="80" w:after="80" w:line="360" w:lineRule="auto"/>
        <w:ind w:firstLine="420" w:firstLineChars="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投标人须提供本次采购涉及的全部维保产品的原厂服务承诺文件，具体要求如下：原厂出具的服务承诺函，承诺在维保期内为本项目提供相应的技术支持和服务保障；上述文件须加盖原厂公章，原件或加盖骑缝章的复印件均可，如为复印件须注明'与原件一致'并签字。</w:t>
      </w:r>
    </w:p>
    <w:p>
      <w:pPr>
        <w:pStyle w:val="3"/>
        <w:spacing w:before="240" w:after="12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项目经理要求</w:t>
      </w:r>
    </w:p>
    <w:p>
      <w:pPr>
        <w:numPr>
          <w:ilvl w:val="0"/>
          <w:numId w:val="1"/>
        </w:numPr>
        <w:spacing w:before="80" w:after="80" w:line="360" w:lineRule="auto"/>
        <w:ind w:left="425" w:leftChars="0" w:hanging="425" w:firstLineChars="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投标人须派遣1名具备有效信息系统项目管理师证书的人员担任本项目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color w:val="000000"/>
          <w:sz w:val="24"/>
          <w:szCs w:val="24"/>
        </w:rPr>
        <w:t>项目经理，全程参与管理工作；</w:t>
      </w:r>
    </w:p>
    <w:p>
      <w:pPr>
        <w:numPr>
          <w:ilvl w:val="0"/>
          <w:numId w:val="1"/>
        </w:numPr>
        <w:spacing w:before="80" w:after="80" w:line="360" w:lineRule="auto"/>
        <w:ind w:left="425" w:leftChars="0" w:hanging="425" w:firstLineChars="0"/>
        <w:rPr>
          <w:color w:val="000000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sz w:val="24"/>
          <w:szCs w:val="24"/>
        </w:rPr>
        <w:t>投标人须在投标文件中承诺，在项目实施期内不随意更换项目经理；如需更换，须提前征得采购方书面同意，并确保继任者具备同等资质。</w:t>
      </w:r>
    </w:p>
    <w:p>
      <w:pPr>
        <w:pStyle w:val="3"/>
        <w:spacing w:before="240" w:after="120"/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>五、服务要求</w:t>
      </w:r>
    </w:p>
    <w:p>
      <w:pPr>
        <w:pStyle w:val="3"/>
        <w:spacing w:before="240" w:after="120"/>
        <w:rPr>
          <w:color w:val="000000"/>
        </w:rPr>
      </w:pP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 xml:space="preserve">5.1 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服务响应要求</w:t>
      </w:r>
    </w:p>
    <w:p>
      <w:pPr>
        <w:numPr>
          <w:ilvl w:val="0"/>
          <w:numId w:val="1"/>
        </w:numPr>
        <w:spacing w:before="80" w:after="80" w:line="360" w:lineRule="auto"/>
        <w:ind w:left="425" w:leftChars="0" w:hanging="425" w:firstLineChars="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故障报修后，技术人员须在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color w:val="000000"/>
          <w:sz w:val="24"/>
          <w:szCs w:val="24"/>
        </w:rPr>
        <w:t>小时内电话响应，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24"/>
          <w:szCs w:val="24"/>
        </w:rPr>
        <w:t>小时内到达现场；</w:t>
      </w:r>
    </w:p>
    <w:p>
      <w:pPr>
        <w:numPr>
          <w:ilvl w:val="0"/>
          <w:numId w:val="1"/>
        </w:numPr>
        <w:spacing w:before="80" w:after="80" w:line="360" w:lineRule="auto"/>
        <w:ind w:left="425" w:leftChars="0" w:hanging="425" w:firstLineChars="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一般故障须在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24</w:t>
      </w:r>
      <w:r>
        <w:rPr>
          <w:rFonts w:ascii="宋体" w:hAnsi="宋体" w:eastAsia="宋体" w:cs="宋体"/>
          <w:color w:val="000000"/>
          <w:sz w:val="24"/>
          <w:szCs w:val="24"/>
        </w:rPr>
        <w:t>小时内恢复正常；重大故障须在72小时内制定解决方案；</w:t>
      </w:r>
    </w:p>
    <w:p>
      <w:pPr>
        <w:numPr>
          <w:ilvl w:val="0"/>
          <w:numId w:val="1"/>
        </w:numPr>
        <w:spacing w:before="80" w:after="80" w:line="360" w:lineRule="auto"/>
        <w:ind w:left="425" w:leftChars="0" w:hanging="425" w:firstLineChars="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设备硬件更换所需备件，须在3个工作日内提供到位。</w:t>
      </w:r>
    </w:p>
    <w:p>
      <w:pPr>
        <w:pStyle w:val="3"/>
        <w:spacing w:before="240" w:after="120"/>
        <w:rPr>
          <w:color w:val="000000"/>
        </w:rPr>
      </w:pP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.2</w:t>
      </w: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定期巡检</w:t>
      </w:r>
    </w:p>
    <w:p>
      <w:pPr>
        <w:spacing w:before="80" w:after="80" w:line="360" w:lineRule="auto"/>
        <w:ind w:firstLine="420" w:firstLineChars="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维保期内，每季度对在保设备开展不少于1次巡检，形成书面巡检报告，并提交采购方存档。</w:t>
      </w:r>
    </w:p>
    <w:p>
      <w:pPr>
        <w:pStyle w:val="3"/>
        <w:spacing w:before="240" w:after="120"/>
        <w:rPr>
          <w:color w:val="000000"/>
        </w:rPr>
      </w:pP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.3</w:t>
      </w:r>
      <w:r>
        <w:rPr>
          <w:rFonts w:hint="eastAsia" w:cs="黑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color w:val="000000"/>
          <w:sz w:val="28"/>
          <w:szCs w:val="28"/>
        </w:rPr>
        <w:t>应急保障</w:t>
      </w:r>
    </w:p>
    <w:p>
      <w:pPr>
        <w:spacing w:before="80" w:after="80" w:line="360" w:lineRule="auto"/>
        <w:ind w:firstLine="420" w:firstLineChars="0"/>
        <w:rPr>
          <w:color w:val="000000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重大保障活动期间，投标人须提供备勤服务，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根据客户实际需要驻场</w:t>
      </w:r>
      <w:r>
        <w:rPr>
          <w:rFonts w:ascii="宋体" w:hAnsi="宋体" w:eastAsia="宋体" w:cs="宋体"/>
          <w:color w:val="000000"/>
          <w:sz w:val="24"/>
          <w:szCs w:val="24"/>
        </w:rPr>
        <w:t>确保设备稳定运行。</w:t>
      </w:r>
    </w:p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422C4"/>
    <w:multiLevelType w:val="singleLevel"/>
    <w:tmpl w:val="5A7422C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2460C"/>
    <w:rsid w:val="0C547022"/>
    <w:rsid w:val="0D1A30B0"/>
    <w:rsid w:val="11DA44B7"/>
    <w:rsid w:val="16D40046"/>
    <w:rsid w:val="1C6E1E10"/>
    <w:rsid w:val="2D2D15BB"/>
    <w:rsid w:val="32AD6545"/>
    <w:rsid w:val="34937AA5"/>
    <w:rsid w:val="34B74B81"/>
    <w:rsid w:val="39ED6E63"/>
    <w:rsid w:val="4E917C17"/>
    <w:rsid w:val="54AA4E91"/>
    <w:rsid w:val="5CAC604F"/>
    <w:rsid w:val="5CF35E70"/>
    <w:rsid w:val="61C2460C"/>
    <w:rsid w:val="63653DE8"/>
    <w:rsid w:val="6B403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</w:rPr>
  </w:style>
  <w:style w:type="paragraph" w:styleId="2">
    <w:name w:val="heading 1"/>
    <w:next w:val="1"/>
    <w:qFormat/>
    <w:uiPriority w:val="0"/>
    <w:pPr>
      <w:spacing w:before="480" w:after="160"/>
      <w:outlineLvl w:val="0"/>
    </w:pPr>
    <w:rPr>
      <w:rFonts w:ascii="黑体" w:hAnsi="黑体" w:eastAsia="黑体" w:cs="黑体"/>
      <w:b/>
      <w:bCs/>
      <w:color w:val="1F497D"/>
      <w:sz w:val="32"/>
      <w:szCs w:val="32"/>
    </w:rPr>
  </w:style>
  <w:style w:type="paragraph" w:styleId="3">
    <w:name w:val="heading 2"/>
    <w:next w:val="1"/>
    <w:qFormat/>
    <w:uiPriority w:val="0"/>
    <w:pPr>
      <w:spacing w:before="240" w:after="120"/>
      <w:outlineLvl w:val="1"/>
    </w:pPr>
    <w:rPr>
      <w:rFonts w:ascii="黑体" w:hAnsi="黑体" w:eastAsia="黑体" w:cs="黑体"/>
      <w:b/>
      <w:bCs/>
      <w:color w:val="1F497D"/>
      <w:sz w:val="28"/>
      <w:szCs w:val="28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黑体" w:hAnsi="黑体" w:eastAsia="黑体" w:cs="黑体"/>
      <w:b/>
      <w:bCs/>
      <w:color w:val="333333"/>
      <w:sz w:val="26"/>
      <w:szCs w:val="2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2026-04-17T08:13:00Z</dcterms:created>
  <dc:creator>admin</dc:creator>
  <cp:lastModifiedBy>WPS_385350671</cp:lastModifiedBy>
  <dcterms:modified xsi:type="dcterms:W3CDTF">2026-04-21T07:55:26Z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0F4E1D68680A47EA9526DE64D1A03B3E</vt:lpwstr>
  </property>
</Properties>
</file>