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0323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6"/>
        <w:gridCol w:w="2919"/>
        <w:gridCol w:w="6148"/>
      </w:tblGrid>
      <w:tr w14:paraId="44F7C0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103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186585C">
            <w:pPr>
              <w:widowControl/>
              <w:jc w:val="center"/>
              <w:textAlignment w:val="center"/>
              <w:rPr>
                <w:rFonts w:ascii="宋体" w:hAnsi="宋体"/>
                <w:b/>
                <w:bCs/>
                <w:color w:val="000000"/>
                <w:sz w:val="40"/>
                <w:szCs w:val="40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44"/>
                <w:szCs w:val="44"/>
              </w:rPr>
              <w:t>采购需求表</w:t>
            </w:r>
          </w:p>
        </w:tc>
      </w:tr>
      <w:tr w14:paraId="5448B5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12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705F2FB9">
            <w:pPr>
              <w:widowControl/>
              <w:spacing w:line="360" w:lineRule="auto"/>
              <w:jc w:val="center"/>
              <w:textAlignment w:val="center"/>
              <w:rPr>
                <w:rFonts w:ascii="宋体" w:hAnsi="宋体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宋体" w:hAnsi="宋体"/>
                <w:b/>
                <w:bCs/>
                <w:color w:val="000000"/>
                <w:spacing w:val="40"/>
                <w:kern w:val="0"/>
                <w:sz w:val="28"/>
                <w:szCs w:val="28"/>
                <w:fitText w:val="1360" w:id="1649626286"/>
              </w:rPr>
              <w:t>参数需</w:t>
            </w:r>
            <w:r>
              <w:rPr>
                <w:rFonts w:hint="eastAsia" w:ascii="宋体" w:hAnsi="宋体"/>
                <w:b/>
                <w:bCs/>
                <w:color w:val="000000"/>
                <w:spacing w:val="0"/>
                <w:kern w:val="0"/>
                <w:sz w:val="28"/>
                <w:szCs w:val="28"/>
                <w:fitText w:val="1360" w:id="1649626286"/>
              </w:rPr>
              <w:t>求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EABB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技术和性能参数需求</w:t>
            </w:r>
          </w:p>
        </w:tc>
        <w:tc>
          <w:tcPr>
            <w:tcW w:w="6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B830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配置需求</w:t>
            </w:r>
          </w:p>
        </w:tc>
      </w:tr>
      <w:tr w14:paraId="1A0174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0E11D869">
            <w:pPr>
              <w:widowControl/>
              <w:spacing w:line="360" w:lineRule="auto"/>
              <w:jc w:val="center"/>
              <w:rPr>
                <w:rFonts w:ascii="宋体" w:hAnsi="宋体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9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1E42B3">
            <w:pPr>
              <w:jc w:val="both"/>
              <w:rPr>
                <w:rFonts w:ascii="宋体" w:hAnsi="宋体"/>
                <w:color w:val="000000"/>
                <w:sz w:val="24"/>
              </w:rPr>
            </w:pPr>
          </w:p>
          <w:p w14:paraId="29EBAD83">
            <w:pPr>
              <w:jc w:val="both"/>
              <w:rPr>
                <w:rFonts w:ascii="宋体" w:hAnsi="宋体"/>
                <w:color w:val="000000"/>
                <w:sz w:val="24"/>
              </w:rPr>
            </w:pPr>
          </w:p>
          <w:p w14:paraId="300CE81C">
            <w:pPr>
              <w:jc w:val="both"/>
              <w:rPr>
                <w:rFonts w:ascii="宋体" w:hAnsi="宋体"/>
                <w:color w:val="000000"/>
                <w:sz w:val="24"/>
              </w:rPr>
            </w:pPr>
          </w:p>
          <w:p w14:paraId="40905DF2">
            <w:pPr>
              <w:jc w:val="both"/>
              <w:rPr>
                <w:rFonts w:ascii="宋体" w:hAnsi="宋体"/>
                <w:color w:val="000000"/>
                <w:sz w:val="24"/>
              </w:rPr>
            </w:pPr>
          </w:p>
          <w:p w14:paraId="28C9ACA1">
            <w:pPr>
              <w:jc w:val="both"/>
              <w:rPr>
                <w:rFonts w:ascii="宋体" w:hAnsi="宋体"/>
                <w:color w:val="000000"/>
                <w:sz w:val="24"/>
              </w:rPr>
            </w:pPr>
          </w:p>
          <w:p w14:paraId="649625C0">
            <w:pPr>
              <w:jc w:val="both"/>
              <w:rPr>
                <w:rFonts w:ascii="宋体" w:hAnsi="宋体"/>
                <w:color w:val="000000"/>
                <w:sz w:val="24"/>
              </w:rPr>
            </w:pPr>
          </w:p>
          <w:p w14:paraId="5F1BA8CA">
            <w:pPr>
              <w:jc w:val="both"/>
              <w:rPr>
                <w:rFonts w:ascii="宋体" w:hAnsi="宋体"/>
                <w:color w:val="000000"/>
                <w:sz w:val="24"/>
              </w:rPr>
            </w:pPr>
          </w:p>
          <w:p w14:paraId="122F94DC">
            <w:pPr>
              <w:jc w:val="both"/>
              <w:rPr>
                <w:rFonts w:ascii="宋体" w:hAnsi="宋体"/>
                <w:color w:val="000000"/>
                <w:sz w:val="24"/>
              </w:rPr>
            </w:pPr>
          </w:p>
          <w:p w14:paraId="7D5C0E58">
            <w:pPr>
              <w:jc w:val="both"/>
              <w:rPr>
                <w:rFonts w:ascii="宋体" w:hAnsi="宋体"/>
                <w:color w:val="000000"/>
                <w:sz w:val="24"/>
              </w:rPr>
            </w:pPr>
          </w:p>
          <w:p w14:paraId="2566A8A6">
            <w:pPr>
              <w:jc w:val="both"/>
              <w:rPr>
                <w:rFonts w:ascii="宋体" w:hAnsi="宋体"/>
                <w:color w:val="000000"/>
                <w:sz w:val="24"/>
              </w:rPr>
            </w:pPr>
          </w:p>
          <w:p w14:paraId="59734720">
            <w:pPr>
              <w:jc w:val="both"/>
              <w:rPr>
                <w:rFonts w:ascii="宋体" w:hAnsi="宋体"/>
                <w:color w:val="000000"/>
                <w:sz w:val="24"/>
              </w:rPr>
            </w:pPr>
          </w:p>
          <w:p w14:paraId="28904D73">
            <w:pPr>
              <w:jc w:val="both"/>
              <w:rPr>
                <w:rFonts w:ascii="宋体" w:hAnsi="宋体"/>
                <w:color w:val="000000"/>
                <w:sz w:val="24"/>
              </w:rPr>
            </w:pPr>
          </w:p>
          <w:p w14:paraId="7AAF7535">
            <w:pPr>
              <w:jc w:val="both"/>
              <w:rPr>
                <w:rFonts w:ascii="宋体" w:hAnsi="宋体"/>
                <w:color w:val="000000"/>
                <w:sz w:val="24"/>
              </w:rPr>
            </w:pPr>
          </w:p>
          <w:p w14:paraId="6B02DCBE">
            <w:pPr>
              <w:jc w:val="both"/>
              <w:rPr>
                <w:rFonts w:ascii="宋体" w:hAnsi="宋体"/>
                <w:color w:val="000000"/>
                <w:sz w:val="24"/>
              </w:rPr>
            </w:pPr>
          </w:p>
          <w:p w14:paraId="6D21E5C2">
            <w:pPr>
              <w:jc w:val="both"/>
              <w:rPr>
                <w:rFonts w:ascii="宋体" w:hAnsi="宋体"/>
                <w:color w:val="000000"/>
                <w:sz w:val="24"/>
              </w:rPr>
            </w:pPr>
          </w:p>
          <w:p w14:paraId="5EED486F">
            <w:pPr>
              <w:jc w:val="both"/>
              <w:rPr>
                <w:rFonts w:ascii="宋体" w:hAnsi="宋体"/>
                <w:color w:val="000000"/>
                <w:sz w:val="24"/>
              </w:rPr>
            </w:pPr>
          </w:p>
          <w:p w14:paraId="7BB6E4D7">
            <w:pPr>
              <w:jc w:val="both"/>
              <w:rPr>
                <w:rFonts w:ascii="宋体" w:hAnsi="宋体"/>
                <w:color w:val="000000"/>
                <w:sz w:val="24"/>
              </w:rPr>
            </w:pPr>
          </w:p>
          <w:p w14:paraId="39C74CC3">
            <w:pPr>
              <w:jc w:val="both"/>
              <w:rPr>
                <w:rFonts w:ascii="宋体" w:hAnsi="宋体"/>
                <w:color w:val="000000"/>
                <w:sz w:val="24"/>
              </w:rPr>
            </w:pPr>
          </w:p>
          <w:p w14:paraId="6417C6B4">
            <w:pPr>
              <w:jc w:val="both"/>
              <w:rPr>
                <w:rFonts w:ascii="宋体" w:hAnsi="宋体"/>
                <w:color w:val="000000"/>
                <w:sz w:val="24"/>
              </w:rPr>
            </w:pPr>
          </w:p>
          <w:p w14:paraId="0A587E46">
            <w:pPr>
              <w:jc w:val="both"/>
              <w:rPr>
                <w:rFonts w:ascii="宋体" w:hAnsi="宋体"/>
                <w:color w:val="000000"/>
                <w:sz w:val="24"/>
              </w:rPr>
            </w:pPr>
          </w:p>
          <w:p w14:paraId="5C5E56BD">
            <w:pPr>
              <w:jc w:val="both"/>
              <w:rPr>
                <w:rFonts w:ascii="宋体" w:hAnsi="宋体"/>
                <w:color w:val="000000"/>
                <w:sz w:val="24"/>
              </w:rPr>
            </w:pPr>
          </w:p>
          <w:p w14:paraId="73CF2F1A">
            <w:pPr>
              <w:jc w:val="both"/>
              <w:rPr>
                <w:rFonts w:ascii="宋体" w:hAnsi="宋体"/>
                <w:color w:val="000000"/>
                <w:sz w:val="24"/>
              </w:rPr>
            </w:pPr>
          </w:p>
          <w:p w14:paraId="3862E021">
            <w:pPr>
              <w:jc w:val="both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61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1914EC">
            <w:pPr>
              <w:spacing w:line="360" w:lineRule="auto"/>
              <w:ind w:firstLine="480" w:firstLineChars="200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年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月-202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7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年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月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的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培训项目</w:t>
            </w: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预计覆盖约60家肿瘤专科医院或综合医院肿瘤科，培训结直肠癌技术骨干约480人。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通过前期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开展培训需求调研</w:t>
            </w: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筛选培训基地</w:t>
            </w: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组建师资队伍</w:t>
            </w: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筛选培训对象</w:t>
            </w: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制订培训方案</w:t>
            </w: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以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灯塔专家赋能培训班，线下每期约20人次，共举办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期，约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180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人次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t>；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卓越中心上行培训班，线下每期约10人次，共举办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期，约60人次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t>；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医者同行区域培训班，线下每期约30人次，共举办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期，约1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0人次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的不同形式完成培训计划和内容。</w:t>
            </w:r>
          </w:p>
          <w:p w14:paraId="608E8D5D">
            <w:pPr>
              <w:spacing w:line="360" w:lineRule="auto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 xml:space="preserve">    需要根据项目内容，参与并联络培训基地，联系参与培训的教授及机构，制定培训日程，交通预定，住宿安排，培训材料制作，会场准备等。</w:t>
            </w:r>
          </w:p>
        </w:tc>
      </w:tr>
      <w:tr w14:paraId="057254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127D5D05">
            <w:pPr>
              <w:widowControl/>
              <w:spacing w:line="360" w:lineRule="auto"/>
              <w:jc w:val="center"/>
              <w:rPr>
                <w:rFonts w:ascii="宋体" w:hAnsi="宋体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9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E19A6D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61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E97753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14:paraId="5FEC90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5A2BDE6B">
            <w:pPr>
              <w:widowControl/>
              <w:spacing w:line="360" w:lineRule="auto"/>
              <w:jc w:val="center"/>
              <w:rPr>
                <w:rFonts w:ascii="宋体" w:hAnsi="宋体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9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D037D9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61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B38362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14:paraId="1D29D7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0EA377A9">
            <w:pPr>
              <w:widowControl/>
              <w:spacing w:line="360" w:lineRule="auto"/>
              <w:jc w:val="center"/>
              <w:rPr>
                <w:rFonts w:ascii="宋体" w:hAnsi="宋体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9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BADDC9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61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7AD03D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14:paraId="58F243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122A58D1">
            <w:pPr>
              <w:widowControl/>
              <w:spacing w:line="360" w:lineRule="auto"/>
              <w:jc w:val="center"/>
              <w:rPr>
                <w:rFonts w:ascii="宋体" w:hAnsi="宋体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9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19CC4F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61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776F31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14:paraId="16934F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22F98F53">
            <w:pPr>
              <w:widowControl/>
              <w:spacing w:line="360" w:lineRule="auto"/>
              <w:jc w:val="center"/>
              <w:rPr>
                <w:rFonts w:ascii="宋体" w:hAnsi="宋体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9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2B43B8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61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CE0961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14:paraId="091B84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1957281E">
            <w:pPr>
              <w:widowControl/>
              <w:spacing w:line="360" w:lineRule="auto"/>
              <w:jc w:val="center"/>
              <w:rPr>
                <w:rFonts w:ascii="宋体" w:hAnsi="宋体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9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49A634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61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BA9B05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14:paraId="01814E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3EEAFB90">
            <w:pPr>
              <w:widowControl/>
              <w:spacing w:line="360" w:lineRule="auto"/>
              <w:jc w:val="center"/>
              <w:rPr>
                <w:rFonts w:ascii="宋体" w:hAnsi="宋体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9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313B8E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61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004D3A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14:paraId="6D3527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4" w:hRule="atLeast"/>
          <w:jc w:val="center"/>
        </w:trPr>
        <w:tc>
          <w:tcPr>
            <w:tcW w:w="12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715394BC">
            <w:pPr>
              <w:widowControl/>
              <w:spacing w:line="360" w:lineRule="auto"/>
              <w:jc w:val="center"/>
              <w:rPr>
                <w:rFonts w:ascii="宋体" w:hAnsi="宋体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9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2AE719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61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827345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</w:tbl>
    <w:p w14:paraId="323B05EC">
      <w:bookmarkStart w:id="0" w:name="_GoBack"/>
      <w:bookmarkEnd w:id="0"/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3A47"/>
    <w:rsid w:val="00493A47"/>
    <w:rsid w:val="005926A6"/>
    <w:rsid w:val="009A27CA"/>
    <w:rsid w:val="02544BD0"/>
    <w:rsid w:val="0749300E"/>
    <w:rsid w:val="0E236ED2"/>
    <w:rsid w:val="169A16FE"/>
    <w:rsid w:val="201505B0"/>
    <w:rsid w:val="32D90F1B"/>
    <w:rsid w:val="3DF41725"/>
    <w:rsid w:val="42AE426E"/>
    <w:rsid w:val="42E663B4"/>
    <w:rsid w:val="46677595"/>
    <w:rsid w:val="4DD352E7"/>
    <w:rsid w:val="51614929"/>
    <w:rsid w:val="590810BD"/>
    <w:rsid w:val="5F122487"/>
    <w:rsid w:val="644F5E92"/>
    <w:rsid w:val="705F7A5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Strong"/>
    <w:basedOn w:val="5"/>
    <w:qFormat/>
    <w:uiPriority w:val="0"/>
    <w:rPr>
      <w:b/>
    </w:rPr>
  </w:style>
  <w:style w:type="character" w:customStyle="1" w:styleId="7">
    <w:name w:val="font81"/>
    <w:basedOn w:val="5"/>
    <w:qFormat/>
    <w:uiPriority w:val="0"/>
    <w:rPr>
      <w:rFonts w:ascii="Wingdings" w:hAnsi="Wingdings" w:cs="Wingdings"/>
      <w:color w:val="000000"/>
      <w:sz w:val="24"/>
      <w:szCs w:val="24"/>
      <w:u w:val="none"/>
    </w:rPr>
  </w:style>
  <w:style w:type="character" w:customStyle="1" w:styleId="8">
    <w:name w:val="font11"/>
    <w:basedOn w:val="5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9">
    <w:name w:val="font01"/>
    <w:basedOn w:val="5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0">
    <w:name w:val="页眉 Char"/>
    <w:basedOn w:val="5"/>
    <w:link w:val="3"/>
    <w:qFormat/>
    <w:uiPriority w:val="0"/>
    <w:rPr>
      <w:rFonts w:ascii="Calibri" w:hAnsi="Calibri" w:cs="宋体"/>
      <w:kern w:val="2"/>
      <w:sz w:val="18"/>
      <w:szCs w:val="18"/>
    </w:rPr>
  </w:style>
  <w:style w:type="character" w:customStyle="1" w:styleId="11">
    <w:name w:val="页脚 Char"/>
    <w:basedOn w:val="5"/>
    <w:link w:val="2"/>
    <w:qFormat/>
    <w:uiPriority w:val="0"/>
    <w:rPr>
      <w:rFonts w:ascii="Calibri" w:hAnsi="Calibri" w:cs="宋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574</Words>
  <Characters>598</Characters>
  <Lines>1</Lines>
  <Paragraphs>1</Paragraphs>
  <TotalTime>16</TotalTime>
  <ScaleCrop>false</ScaleCrop>
  <LinksUpToDate>false</LinksUpToDate>
  <CharactersWithSpaces>632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2025-08-18T00:32:00Z</dcterms:created>
  <dc:creator>设备处</dc:creator>
  <cp:lastModifiedBy>ts</cp:lastModifiedBy>
  <cp:lastPrinted>2025-08-18T00:54:00Z</cp:lastPrinted>
  <dcterms:modified xsi:type="dcterms:W3CDTF">2026-04-09T06:46:23Z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55B2F6EA1DE54C5B8A1CFA1FA4C17F6C_13</vt:lpwstr>
  </property>
  <property fmtid="{D5CDD505-2E9C-101B-9397-08002B2CF9AE}" pid="4" name="KSOTemplateDocerSaveRecord">
    <vt:lpwstr>eyJoZGlkIjoiMjYxNWFhZGIzMTUzMTBlN2I0MmExYTBiM2M5MWJmMDQifQ==</vt:lpwstr>
  </property>
</Properties>
</file>