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BF18">
      <w:pPr>
        <w:jc w:val="center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移动手持终端（PDA）</w:t>
      </w:r>
    </w:p>
    <w:p w14:paraId="1ADC417A">
      <w:pPr>
        <w:jc w:val="both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数量：30台</w:t>
      </w:r>
      <w:bookmarkStart w:id="0" w:name="_GoBack"/>
      <w:bookmarkEnd w:id="0"/>
    </w:p>
    <w:p w14:paraId="6B77D7CB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产品参数：</w:t>
      </w:r>
    </w:p>
    <w:p w14:paraId="616E5EC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1.处理器；</w:t>
      </w:r>
      <w:r>
        <w:rPr>
          <w:rFonts w:hint="eastAsia" w:asciiTheme="minorEastAsia" w:hAnsiTheme="minorEastAsia"/>
          <w:sz w:val="21"/>
          <w:szCs w:val="21"/>
        </w:rPr>
        <w:t>CPU：≥八核 2.0GHz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高性能处理器；</w:t>
      </w:r>
    </w:p>
    <w:p w14:paraId="45731675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2.操作系统：</w:t>
      </w:r>
      <w:r>
        <w:rPr>
          <w:rFonts w:hint="eastAsia" w:asciiTheme="minorEastAsia" w:hAnsiTheme="minorEastAsia"/>
          <w:sz w:val="21"/>
          <w:szCs w:val="21"/>
        </w:rPr>
        <w:t>安卓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 w:val="21"/>
          <w:szCs w:val="21"/>
        </w:rPr>
        <w:t>及以上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3625E945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3.内存：</w:t>
      </w:r>
      <w:r>
        <w:rPr>
          <w:rFonts w:hint="eastAsia" w:asciiTheme="minorEastAsia" w:hAnsiTheme="minorEastAsia"/>
          <w:sz w:val="21"/>
          <w:szCs w:val="21"/>
        </w:rPr>
        <w:t>运行内存≥4GB，存储≥64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G</w:t>
      </w:r>
      <w:r>
        <w:rPr>
          <w:rFonts w:hint="eastAsia" w:asciiTheme="minorEastAsia" w:hAnsiTheme="minorEastAsia"/>
          <w:sz w:val="21"/>
          <w:szCs w:val="21"/>
        </w:rPr>
        <w:t>；</w:t>
      </w:r>
    </w:p>
    <w:p w14:paraId="7DE8304F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4.屏幕：</w:t>
      </w:r>
      <w:r>
        <w:rPr>
          <w:rFonts w:hint="eastAsia" w:asciiTheme="minorEastAsia" w:hAnsiTheme="minorEastAsia"/>
          <w:sz w:val="21"/>
          <w:szCs w:val="21"/>
        </w:rPr>
        <w:t>≥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 w:val="21"/>
          <w:szCs w:val="21"/>
        </w:rPr>
        <w:t>.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/>
          <w:sz w:val="21"/>
          <w:szCs w:val="21"/>
        </w:rPr>
        <w:t>寸</w:t>
      </w:r>
      <w:r>
        <w:rPr>
          <w:rFonts w:hint="eastAsia" w:asciiTheme="minorEastAsia" w:hAnsi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sz w:val="21"/>
          <w:szCs w:val="21"/>
        </w:rPr>
        <w:t>720x1280像素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4113A166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5.触摸屏：工业级电容触摸屏；多点触摸；支持手套、湿手触摸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6496707E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6.键盘：为便于消毒清洗设备正面必须为触控按键，不得有实体按键；</w:t>
      </w:r>
    </w:p>
    <w:p w14:paraId="5FFF375A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7.按钮：包括 2 个实体扫描键、1 组音量加减键（含音量加键与音量减键）及 1 个电源键，同时支持通过自定义按键功能实现按键通话（PTT）功能，按键布局兼顾操作便捷性与功能实用性，满足多样化使用需求；</w:t>
      </w:r>
    </w:p>
    <w:p w14:paraId="2B9A6902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8.通知：震动提示/LED提示/音频提示；</w:t>
      </w:r>
    </w:p>
    <w:p w14:paraId="1ED28144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9.抗菌外壳:采用医疗耐菌外壳，支持酒精、过氧化氢等试剂擦拭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6E8DB9DA">
      <w:pPr>
        <w:spacing w:line="360" w:lineRule="auto"/>
        <w:ind w:left="0" w:leftChars="0" w:firstLine="0" w:firstLineChars="0"/>
        <w:jc w:val="left"/>
        <w:rPr>
          <w:rFonts w:hint="default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10.充电：Type-C 接口，支持快充技术，支持 OTG，带充电器，含配套充电底座；</w:t>
      </w:r>
    </w:p>
    <w:p w14:paraId="471D8936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11.电池:4000mAh及以上锂电池。提供电池3C报告或通过GB31241-2022标准的电池报告；</w:t>
      </w:r>
    </w:p>
    <w:p w14:paraId="4AEE2F7C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12.防护等级:(1)IP64防护等级(2)可承受 1.2m 高处到地面的多次跌落；</w:t>
      </w:r>
    </w:p>
    <w:p w14:paraId="51C762DF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13.质保时间（含电池）≥3年，提供技术适配文档；</w:t>
      </w:r>
    </w:p>
    <w:p w14:paraId="5112FC97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通讯传输：</w:t>
      </w:r>
    </w:p>
    <w:p w14:paraId="0B5A10F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1.工作频段：同时支持2.4GHz和5GHz，优先使用5GHz；</w:t>
      </w:r>
    </w:p>
    <w:p w14:paraId="35F937D4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2.支持IPv4和IPv6；</w:t>
      </w:r>
    </w:p>
    <w:p w14:paraId="67F465EB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3.蓝牙：蓝牙5.0BLE及以上；</w:t>
      </w:r>
    </w:p>
    <w:p w14:paraId="1EC25E10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4.RFID:13.56MHz，支持ISO14443 A&amp;B、ISO15693协议，支持NFC；</w:t>
      </w:r>
    </w:p>
    <w:p w14:paraId="71C29023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5.支持主流定位服务，GPS，北斗等；</w:t>
      </w:r>
    </w:p>
    <w:p w14:paraId="5714471B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数据采集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：</w:t>
      </w:r>
    </w:p>
    <w:p w14:paraId="4D9112F8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1.扫描：配备专业扫码引擎，支持一维条码和二维条码读取;支持医疗器械UDI码（原厂全码）读取,扫描工具同步支持设置应用标识分隔符开关功能(需提供功能截图证明)，扫码需具备十字光线瞄准定位，支持设置关闭补光灯，仅保留瞄准灯。</w:t>
      </w:r>
    </w:p>
    <w:p w14:paraId="4106EAB0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(1)提供PDA厂商扫码模组专利证书；</w:t>
      </w:r>
    </w:p>
    <w:p w14:paraId="532956D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(2)提供PDA厂商条码解码或条码阅读器软件或条码扫描系统著作权登记证书；</w:t>
      </w:r>
    </w:p>
    <w:p w14:paraId="1FD02805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2.摄像头:1300万像素后置摄像头</w:t>
      </w:r>
      <w:r>
        <w:rPr>
          <w:rFonts w:hint="eastAsia" w:asciiTheme="minorEastAsia" w:hAnsi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200</w:t>
      </w:r>
      <w:r>
        <w:rPr>
          <w:rFonts w:hint="eastAsia" w:asciiTheme="minorEastAsia" w:hAnsiTheme="minorEastAsia"/>
          <w:sz w:val="21"/>
          <w:szCs w:val="21"/>
        </w:rPr>
        <w:t>万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以及上</w:t>
      </w:r>
      <w:r>
        <w:rPr>
          <w:rFonts w:hint="eastAsia" w:asciiTheme="minorEastAsia" w:hAnsiTheme="minorEastAsia"/>
          <w:sz w:val="21"/>
          <w:szCs w:val="21"/>
        </w:rPr>
        <w:t>像素前置摄像头；</w:t>
      </w:r>
    </w:p>
    <w:p w14:paraId="006E29EF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软件功能：</w:t>
      </w:r>
    </w:p>
    <w:p w14:paraId="485A96C1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1.快捷设置:可支持通过扫描二维码实现快速同步其他设备设置，如同步扫描头设置状态、WiFi 连接，自动或手动修改系统休眠时间、屏幕亮度、字体大小等设置；</w:t>
      </w:r>
    </w:p>
    <w:p w14:paraId="45FE8512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2.OTA升级:支持OTA在线系统升级；</w:t>
      </w:r>
    </w:p>
    <w:p w14:paraId="45A206BE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3.设备配置:不借助任何第三方软件实现修改设备特殊设置，如禁止任务栏下拉、屏蔽虚拟按键、禁止输入法自动弹出、按键映射等；</w:t>
      </w:r>
    </w:p>
    <w:p w14:paraId="1BFFB39D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设备管理：</w:t>
      </w:r>
    </w:p>
    <w:p w14:paraId="4416B98C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可提供选配MDM设备管理平台，远程监管设备，批量应用安装，远程定位，安全管控等；</w:t>
      </w:r>
    </w:p>
    <w:p w14:paraId="6F50B691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认证：</w:t>
      </w:r>
    </w:p>
    <w:p w14:paraId="14DCEF3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1.CCC认证；</w:t>
      </w:r>
    </w:p>
    <w:p w14:paraId="4BA4D476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2.无线电发射设备型号核准证书；</w:t>
      </w:r>
    </w:p>
    <w:p w14:paraId="3CAC7398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3.电信设备进网许可证；</w:t>
      </w:r>
    </w:p>
    <w:p w14:paraId="49E071E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4.Rohs认证报告；</w:t>
      </w:r>
    </w:p>
    <w:p w14:paraId="1C1961A2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厂商资质:</w:t>
      </w:r>
    </w:p>
    <w:p w14:paraId="0C1EE1BC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1.需提供原厂授权承诺函；</w:t>
      </w:r>
    </w:p>
    <w:p w14:paraId="73CF2F1A">
      <w:pPr>
        <w:ind w:left="0" w:leftChars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2.有大型三甲医院销售案例；</w:t>
      </w:r>
    </w:p>
    <w:p w14:paraId="0B9C2BEC">
      <w:pPr>
        <w:jc w:val="both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43D8"/>
    <w:rsid w:val="564343D8"/>
    <w:rsid w:val="608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1094</Characters>
  <Lines>0</Lines>
  <Paragraphs>0</Paragraphs>
  <TotalTime>0</TotalTime>
  <ScaleCrop>false</ScaleCrop>
  <LinksUpToDate>false</LinksUpToDate>
  <CharactersWithSpaces>1106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2025-12-11T05:57:00Z</dcterms:created>
  <dc:creator>小奥很</dc:creator>
  <cp:lastModifiedBy>小奥很</cp:lastModifiedBy>
  <dcterms:modified xsi:type="dcterms:W3CDTF">2025-12-11T06:14:54Z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8E5309221E334B72B345DF2AE9EE0078_11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