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B4872">
      <w:pPr>
        <w:pStyle w:val="3"/>
      </w:pPr>
      <w:r>
        <w:t>一、</w:t>
      </w:r>
      <w:r>
        <w:rPr>
          <w:rFonts w:hint="eastAsia"/>
        </w:rPr>
        <w:t>项目</w:t>
      </w:r>
      <w:r>
        <w:t>背</w:t>
      </w:r>
      <w:r>
        <w:rPr>
          <w:rFonts w:hint="eastAsia"/>
        </w:rPr>
        <w:t>景</w:t>
      </w:r>
    </w:p>
    <w:p w14:paraId="211A222C">
      <w:pPr>
        <w:ind w:firstLine="480" w:firstLineChars="200"/>
      </w:pPr>
      <w:r>
        <w:rPr>
          <w:rFonts w:hint="eastAsia"/>
        </w:rPr>
        <w:t>我院远程医疗中心北京与深圳分院专线网费将于2026年2月到期，为确保</w:t>
      </w:r>
      <w:r>
        <w:rPr>
          <w:rFonts w:hint="eastAsia" w:ascii="宋体" w:hAnsi="宋体"/>
          <w:bCs/>
        </w:rPr>
        <w:t>中国医学科学院肿瘤医院远程会诊中心和中国医学科学院深圳医院会诊中心</w:t>
      </w:r>
      <w:r>
        <w:rPr>
          <w:rFonts w:hint="eastAsia"/>
        </w:rPr>
        <w:t>的三屏设备沉浸式连通效果，以及远程实时病理会诊，多学科会诊等远程医疗业务工作顺利进行，现申请采购京广点到点网络专线。</w:t>
      </w:r>
    </w:p>
    <w:p w14:paraId="0A18BEFF">
      <w:pPr>
        <w:pStyle w:val="3"/>
      </w:pPr>
      <w:r>
        <w:t>二、</w:t>
      </w:r>
      <w:r>
        <w:rPr>
          <w:rFonts w:hint="eastAsia"/>
        </w:rPr>
        <w:t>采购需求</w:t>
      </w:r>
    </w:p>
    <w:p w14:paraId="08DB7E23">
      <w:pPr>
        <w:ind w:firstLine="420"/>
      </w:pPr>
      <w:r>
        <w:rPr>
          <w:rFonts w:hint="eastAsia" w:ascii="宋体" w:hAnsi="宋体"/>
          <w:bCs/>
        </w:rPr>
        <w:t>满足中国医学科学院肿瘤医院（北京市朝阳区潘家园南里17号）到中国医学科学院肿瘤医院深圳医院（深圳市龙岗区宝荷大道113号）核心节点互通，在北京和深圳两地远程会诊核心节点区域均部署点对点专线，满足医院视频会议业务工作开展要求，提供安全、稳定、可靠的网络环境。</w:t>
      </w:r>
    </w:p>
    <w:p w14:paraId="685B62F2">
      <w:pPr>
        <w:pStyle w:val="3"/>
      </w:pPr>
      <w:r>
        <w:t>三、</w:t>
      </w:r>
      <w:r>
        <w:rPr>
          <w:rFonts w:hint="eastAsia"/>
        </w:rPr>
        <w:t>技术</w:t>
      </w:r>
      <w:r>
        <w:t>要求</w:t>
      </w:r>
    </w:p>
    <w:p w14:paraId="00CD85AA">
      <w:pPr>
        <w:pStyle w:val="4"/>
        <w:rPr>
          <w:sz w:val="28"/>
        </w:rPr>
      </w:pPr>
      <w:r>
        <w:rPr>
          <w:sz w:val="28"/>
        </w:rPr>
        <w:t>3.</w:t>
      </w:r>
      <w:r>
        <w:rPr>
          <w:rFonts w:hint="eastAsia"/>
          <w:sz w:val="28"/>
        </w:rPr>
        <w:t>1网络带宽</w:t>
      </w:r>
    </w:p>
    <w:p w14:paraId="6A4917C1">
      <w:pPr>
        <w:ind w:firstLine="420"/>
      </w:pPr>
      <w:r>
        <w:t>运营商</w:t>
      </w:r>
      <w:r>
        <w:rPr>
          <w:rFonts w:hint="eastAsia"/>
        </w:rPr>
        <w:t>应至少</w:t>
      </w:r>
      <w:r>
        <w:t>具有环状骨干网络，</w:t>
      </w:r>
      <w:r>
        <w:rPr>
          <w:rFonts w:hint="eastAsia"/>
        </w:rPr>
        <w:t>保证</w:t>
      </w:r>
      <w:r>
        <w:t>骨干网络可靠性，</w:t>
      </w:r>
      <w:r>
        <w:rPr>
          <w:rFonts w:hint="eastAsia" w:ascii="宋体" w:hAnsi="宋体"/>
          <w:color w:val="000000" w:themeColor="text1"/>
          <w14:textFill>
            <w14:solidFill>
              <w14:schemeClr w14:val="tx1"/>
            </w14:solidFill>
          </w14:textFill>
        </w:rPr>
        <w:t>点对点专线</w:t>
      </w:r>
      <w:r>
        <w:rPr>
          <w:rFonts w:hint="eastAsia"/>
          <w:color w:val="000000" w:themeColor="text1"/>
          <w14:textFill>
            <w14:solidFill>
              <w14:schemeClr w14:val="tx1"/>
            </w14:solidFill>
          </w14:textFill>
        </w:rPr>
        <w:t>网络带宽不</w:t>
      </w:r>
      <w:r>
        <w:rPr>
          <w:rFonts w:hint="eastAsia"/>
        </w:rPr>
        <w:t>低于20Mbps，</w:t>
      </w:r>
      <w:r>
        <w:rPr>
          <w:rFonts w:hint="eastAsia" w:ascii="宋体" w:hAnsi="宋体"/>
        </w:rPr>
        <w:t>端到端单向时延小于8ms/1000km，丢包率≤0.1%，骨干网链路保护倒换时间≤50ms；</w:t>
      </w:r>
    </w:p>
    <w:p w14:paraId="07A8ACFC">
      <w:pPr>
        <w:pStyle w:val="4"/>
        <w:rPr>
          <w:sz w:val="28"/>
        </w:rPr>
      </w:pPr>
      <w:r>
        <w:rPr>
          <w:rFonts w:hint="eastAsia"/>
          <w:sz w:val="28"/>
        </w:rPr>
        <w:t>3.2网络质量</w:t>
      </w:r>
    </w:p>
    <w:p w14:paraId="18578716">
      <w:pPr>
        <w:ind w:firstLine="420"/>
      </w:pPr>
      <w:r>
        <w:rPr>
          <w:rFonts w:hint="eastAsia"/>
        </w:rPr>
        <w:t>三屏</w:t>
      </w:r>
      <w:r>
        <w:t>沉浸式</w:t>
      </w:r>
      <w:r>
        <w:rPr>
          <w:rFonts w:hint="eastAsia"/>
        </w:rPr>
        <w:t>远程</w:t>
      </w:r>
      <w:r>
        <w:t>会诊终端</w:t>
      </w:r>
      <w:r>
        <w:rPr>
          <w:rFonts w:hint="eastAsia"/>
        </w:rPr>
        <w:t>，</w:t>
      </w:r>
      <w:r>
        <w:t>网络延迟≤ 100 ms，</w:t>
      </w:r>
      <w:r>
        <w:rPr>
          <w:rFonts w:hint="eastAsia"/>
        </w:rPr>
        <w:t>网络</w:t>
      </w:r>
      <w:r>
        <w:t>抖动≤ 10 ms，</w:t>
      </w:r>
      <w:r>
        <w:rPr>
          <w:rFonts w:hint="eastAsia"/>
        </w:rPr>
        <w:t>丢包率</w:t>
      </w:r>
      <w:r>
        <w:t>≤ 0.05%。</w:t>
      </w:r>
    </w:p>
    <w:p w14:paraId="7E2657D5">
      <w:pPr>
        <w:ind w:firstLine="420"/>
      </w:pPr>
      <w:r>
        <w:rPr>
          <w:rFonts w:hint="eastAsia"/>
        </w:rPr>
        <w:t>骨干链路具有自愈保护功能，提供的线路可用率达到99.9%。</w:t>
      </w:r>
    </w:p>
    <w:p w14:paraId="6F0ADD80">
      <w:pPr>
        <w:ind w:firstLine="420"/>
      </w:pPr>
      <w:r>
        <w:rPr>
          <w:rFonts w:hint="eastAsia"/>
        </w:rPr>
        <w:t>提供的网络必须具有很强的安全性，确保业务数据传输的安全。</w:t>
      </w:r>
    </w:p>
    <w:p w14:paraId="79B9F47B">
      <w:pPr>
        <w:pStyle w:val="3"/>
      </w:pPr>
      <w:r>
        <w:t>四、</w:t>
      </w:r>
      <w:r>
        <w:rPr>
          <w:rFonts w:hint="eastAsia"/>
        </w:rPr>
        <w:t>售后</w:t>
      </w:r>
      <w:r>
        <w:t>服务</w:t>
      </w:r>
    </w:p>
    <w:p w14:paraId="72C2C9B0">
      <w:pPr>
        <w:ind w:firstLine="420"/>
      </w:pPr>
      <w:r>
        <w:rPr>
          <w:rFonts w:hint="eastAsia"/>
        </w:rPr>
        <w:t>提供7×24小时的维护和服务，一般故障在20分钟内响应，1小时内解决；需要到现场进行判断和处理的情况，1小时内解决故障，并在故障处理完毕后3个工作日内提供故障处理报告。</w:t>
      </w:r>
    </w:p>
    <w:p w14:paraId="2BD87C62">
      <w:pPr>
        <w:pStyle w:val="3"/>
      </w:pPr>
      <w:r>
        <w:t>五、</w:t>
      </w:r>
      <w:r>
        <w:rPr>
          <w:rFonts w:hint="eastAsia"/>
        </w:rPr>
        <w:t>参数要求</w:t>
      </w: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701"/>
        <w:gridCol w:w="5812"/>
      </w:tblGrid>
      <w:tr w14:paraId="2D2FE6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6" w:hRule="atLeast"/>
        </w:trPr>
        <w:tc>
          <w:tcPr>
            <w:tcW w:w="817" w:type="dxa"/>
            <w:vAlign w:val="center"/>
          </w:tcPr>
          <w:p w14:paraId="5FA54EF3">
            <w:pPr>
              <w:spacing w:line="360" w:lineRule="auto"/>
              <w:jc w:val="center"/>
            </w:pPr>
            <w:r>
              <w:rPr>
                <w:rFonts w:hint="eastAsia"/>
              </w:rPr>
              <w:t>序号</w:t>
            </w:r>
          </w:p>
        </w:tc>
        <w:tc>
          <w:tcPr>
            <w:tcW w:w="1701" w:type="dxa"/>
            <w:vAlign w:val="center"/>
          </w:tcPr>
          <w:p w14:paraId="1CE5B5A3">
            <w:pPr>
              <w:spacing w:line="360" w:lineRule="auto"/>
              <w:jc w:val="center"/>
            </w:pPr>
            <w:r>
              <w:rPr>
                <w:rFonts w:hint="eastAsia"/>
              </w:rPr>
              <w:t>需求名称</w:t>
            </w:r>
          </w:p>
        </w:tc>
        <w:tc>
          <w:tcPr>
            <w:tcW w:w="5812" w:type="dxa"/>
            <w:vAlign w:val="center"/>
          </w:tcPr>
          <w:p w14:paraId="41DFFA72">
            <w:pPr>
              <w:spacing w:line="360" w:lineRule="auto"/>
              <w:jc w:val="center"/>
            </w:pPr>
            <w:r>
              <w:rPr>
                <w:rFonts w:hint="eastAsia"/>
              </w:rPr>
              <w:t>需求内容</w:t>
            </w:r>
          </w:p>
        </w:tc>
      </w:tr>
      <w:tr w14:paraId="164483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0" w:hRule="atLeast"/>
        </w:trPr>
        <w:tc>
          <w:tcPr>
            <w:tcW w:w="817" w:type="dxa"/>
            <w:vAlign w:val="center"/>
          </w:tcPr>
          <w:p w14:paraId="3A6066FC">
            <w:pPr>
              <w:spacing w:line="360" w:lineRule="auto"/>
              <w:jc w:val="center"/>
            </w:pPr>
            <w:r>
              <w:rPr>
                <w:rFonts w:hint="eastAsia"/>
              </w:rPr>
              <w:t>1</w:t>
            </w:r>
          </w:p>
        </w:tc>
        <w:tc>
          <w:tcPr>
            <w:tcW w:w="1701" w:type="dxa"/>
            <w:vAlign w:val="center"/>
          </w:tcPr>
          <w:p w14:paraId="2617913D">
            <w:pPr>
              <w:spacing w:line="360" w:lineRule="auto"/>
              <w:jc w:val="center"/>
            </w:pPr>
            <w:r>
              <w:rPr>
                <w:rFonts w:hint="eastAsia"/>
              </w:rPr>
              <w:t>服务时间</w:t>
            </w:r>
          </w:p>
        </w:tc>
        <w:tc>
          <w:tcPr>
            <w:tcW w:w="5812" w:type="dxa"/>
            <w:vAlign w:val="center"/>
          </w:tcPr>
          <w:p w14:paraId="546CEF4B">
            <w:pPr>
              <w:spacing w:line="360" w:lineRule="auto"/>
              <w:jc w:val="center"/>
            </w:pPr>
            <w:r>
              <w:t>采购</w:t>
            </w:r>
            <w:r>
              <w:rPr>
                <w:rFonts w:hint="eastAsia"/>
              </w:rPr>
              <w:t>2</w:t>
            </w:r>
            <w:r>
              <w:t>年</w:t>
            </w:r>
            <w:r>
              <w:rPr>
                <w:rFonts w:hint="eastAsia"/>
              </w:rPr>
              <w:t>京广点到点网络专线</w:t>
            </w:r>
            <w:r>
              <w:t>服务。</w:t>
            </w:r>
          </w:p>
        </w:tc>
      </w:tr>
      <w:tr w14:paraId="15C6D0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90" w:hRule="atLeast"/>
        </w:trPr>
        <w:tc>
          <w:tcPr>
            <w:tcW w:w="817" w:type="dxa"/>
            <w:vAlign w:val="center"/>
          </w:tcPr>
          <w:p w14:paraId="3E55FBD8">
            <w:pPr>
              <w:spacing w:line="360" w:lineRule="auto"/>
              <w:jc w:val="center"/>
            </w:pPr>
            <w:r>
              <w:rPr>
                <w:rFonts w:hint="eastAsia"/>
              </w:rPr>
              <w:t>2</w:t>
            </w:r>
          </w:p>
        </w:tc>
        <w:tc>
          <w:tcPr>
            <w:tcW w:w="1701" w:type="dxa"/>
            <w:vAlign w:val="center"/>
          </w:tcPr>
          <w:p w14:paraId="7E2FEEE2">
            <w:pPr>
              <w:spacing w:line="360" w:lineRule="auto"/>
              <w:jc w:val="center"/>
            </w:pPr>
            <w:r>
              <w:rPr>
                <w:rFonts w:hint="eastAsia"/>
              </w:rPr>
              <w:t>网络带宽要求</w:t>
            </w:r>
          </w:p>
        </w:tc>
        <w:tc>
          <w:tcPr>
            <w:tcW w:w="5812" w:type="dxa"/>
            <w:vAlign w:val="center"/>
          </w:tcPr>
          <w:p w14:paraId="03F69FC3">
            <w:pPr>
              <w:spacing w:line="360" w:lineRule="auto"/>
              <w:jc w:val="center"/>
            </w:pPr>
            <w:r>
              <w:t>运营商</w:t>
            </w:r>
            <w:r>
              <w:rPr>
                <w:rFonts w:hint="eastAsia"/>
              </w:rPr>
              <w:t>应至少</w:t>
            </w:r>
            <w:r>
              <w:t>具有环状骨干网络，</w:t>
            </w:r>
            <w:r>
              <w:rPr>
                <w:rFonts w:hint="eastAsia"/>
              </w:rPr>
              <w:t>保证</w:t>
            </w:r>
            <w:r>
              <w:t>骨干网络可靠性，</w:t>
            </w:r>
            <w:r>
              <w:rPr>
                <w:rFonts w:hint="eastAsia" w:ascii="宋体" w:hAnsi="宋体"/>
                <w:color w:val="000000" w:themeColor="text1"/>
                <w14:textFill>
                  <w14:solidFill>
                    <w14:schemeClr w14:val="tx1"/>
                  </w14:solidFill>
                </w14:textFill>
              </w:rPr>
              <w:t>点对点专线</w:t>
            </w:r>
            <w:r>
              <w:rPr>
                <w:rFonts w:hint="eastAsia"/>
                <w:color w:val="000000" w:themeColor="text1"/>
                <w14:textFill>
                  <w14:solidFill>
                    <w14:schemeClr w14:val="tx1"/>
                  </w14:solidFill>
                </w14:textFill>
              </w:rPr>
              <w:t>网络带宽不</w:t>
            </w:r>
            <w:r>
              <w:rPr>
                <w:rFonts w:hint="eastAsia"/>
              </w:rPr>
              <w:t>低于20Mbps，</w:t>
            </w:r>
            <w:r>
              <w:rPr>
                <w:rFonts w:hint="eastAsia" w:ascii="宋体" w:hAnsi="宋体"/>
              </w:rPr>
              <w:t>端到端单向时延小于8ms/1000km，丢包率≤0.1%，骨干网链路保护倒换时间≤50ms。</w:t>
            </w:r>
          </w:p>
        </w:tc>
      </w:tr>
      <w:tr w14:paraId="7C090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4" w:hRule="atLeast"/>
        </w:trPr>
        <w:tc>
          <w:tcPr>
            <w:tcW w:w="817" w:type="dxa"/>
            <w:vAlign w:val="center"/>
          </w:tcPr>
          <w:p w14:paraId="4B419E41">
            <w:pPr>
              <w:spacing w:line="360" w:lineRule="auto"/>
              <w:jc w:val="center"/>
            </w:pPr>
            <w:r>
              <w:rPr>
                <w:rFonts w:hint="eastAsia"/>
              </w:rPr>
              <w:t>3</w:t>
            </w:r>
          </w:p>
        </w:tc>
        <w:tc>
          <w:tcPr>
            <w:tcW w:w="1701" w:type="dxa"/>
            <w:vAlign w:val="center"/>
          </w:tcPr>
          <w:p w14:paraId="1FD8DD19">
            <w:pPr>
              <w:spacing w:line="360" w:lineRule="auto"/>
              <w:jc w:val="center"/>
            </w:pPr>
            <w:r>
              <w:rPr>
                <w:rFonts w:hint="eastAsia"/>
              </w:rPr>
              <w:t>网络质量要求</w:t>
            </w:r>
          </w:p>
        </w:tc>
        <w:tc>
          <w:tcPr>
            <w:tcW w:w="5812" w:type="dxa"/>
            <w:vAlign w:val="center"/>
          </w:tcPr>
          <w:p w14:paraId="094F9738">
            <w:pPr>
              <w:jc w:val="center"/>
            </w:pPr>
            <w:r>
              <w:rPr>
                <w:rFonts w:hint="eastAsia"/>
              </w:rPr>
              <w:t>三屏</w:t>
            </w:r>
            <w:r>
              <w:t>沉浸式</w:t>
            </w:r>
            <w:r>
              <w:rPr>
                <w:rFonts w:hint="eastAsia"/>
              </w:rPr>
              <w:t>远程</w:t>
            </w:r>
            <w:r>
              <w:t>会诊终端</w:t>
            </w:r>
            <w:r>
              <w:rPr>
                <w:rFonts w:hint="eastAsia"/>
              </w:rPr>
              <w:t>，</w:t>
            </w:r>
            <w:r>
              <w:t>网络延迟≤ 100 ms，</w:t>
            </w:r>
            <w:r>
              <w:rPr>
                <w:rFonts w:hint="eastAsia"/>
              </w:rPr>
              <w:t>网络</w:t>
            </w:r>
            <w:r>
              <w:t>抖动≤ 10 ms，</w:t>
            </w:r>
            <w:r>
              <w:rPr>
                <w:rFonts w:hint="eastAsia"/>
              </w:rPr>
              <w:t>丢包率</w:t>
            </w:r>
            <w:r>
              <w:t>≤ 0.05%。</w:t>
            </w:r>
          </w:p>
        </w:tc>
      </w:tr>
      <w:tr w14:paraId="77FBF6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2" w:hRule="atLeast"/>
        </w:trPr>
        <w:tc>
          <w:tcPr>
            <w:tcW w:w="817" w:type="dxa"/>
            <w:vAlign w:val="center"/>
          </w:tcPr>
          <w:p w14:paraId="3C2A60C9">
            <w:pPr>
              <w:spacing w:line="360" w:lineRule="auto"/>
              <w:jc w:val="center"/>
            </w:pPr>
            <w:r>
              <w:rPr>
                <w:rFonts w:hint="eastAsia"/>
              </w:rPr>
              <w:t>4</w:t>
            </w:r>
          </w:p>
        </w:tc>
        <w:tc>
          <w:tcPr>
            <w:tcW w:w="1701" w:type="dxa"/>
            <w:vAlign w:val="center"/>
          </w:tcPr>
          <w:p w14:paraId="56CBAE1E">
            <w:pPr>
              <w:spacing w:line="360" w:lineRule="auto"/>
              <w:jc w:val="center"/>
            </w:pPr>
            <w:r>
              <w:rPr>
                <w:rFonts w:hint="eastAsia"/>
              </w:rPr>
              <w:t>链路质量要求</w:t>
            </w:r>
          </w:p>
        </w:tc>
        <w:tc>
          <w:tcPr>
            <w:tcW w:w="5812" w:type="dxa"/>
            <w:vAlign w:val="center"/>
          </w:tcPr>
          <w:p w14:paraId="5CBC2495">
            <w:pPr>
              <w:spacing w:line="360" w:lineRule="auto"/>
              <w:jc w:val="center"/>
            </w:pPr>
            <w:r>
              <w:rPr>
                <w:rFonts w:hint="eastAsia"/>
              </w:rPr>
              <w:t>骨干链路具有自愈保护功能，提供的线路可用率达到99.9%。</w:t>
            </w:r>
          </w:p>
        </w:tc>
      </w:tr>
      <w:tr w14:paraId="34FD02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8" w:hRule="atLeast"/>
        </w:trPr>
        <w:tc>
          <w:tcPr>
            <w:tcW w:w="817" w:type="dxa"/>
            <w:vAlign w:val="center"/>
          </w:tcPr>
          <w:p w14:paraId="586FF7B0">
            <w:pPr>
              <w:spacing w:line="360" w:lineRule="auto"/>
              <w:jc w:val="center"/>
            </w:pPr>
            <w:r>
              <w:rPr>
                <w:rFonts w:hint="eastAsia"/>
              </w:rPr>
              <w:t>5</w:t>
            </w:r>
          </w:p>
        </w:tc>
        <w:tc>
          <w:tcPr>
            <w:tcW w:w="1701" w:type="dxa"/>
            <w:vAlign w:val="center"/>
          </w:tcPr>
          <w:p w14:paraId="19AAB997">
            <w:pPr>
              <w:spacing w:line="360" w:lineRule="auto"/>
              <w:jc w:val="center"/>
            </w:pPr>
            <w:r>
              <w:rPr>
                <w:rFonts w:hint="eastAsia"/>
              </w:rPr>
              <w:t>网络安全要求</w:t>
            </w:r>
          </w:p>
        </w:tc>
        <w:tc>
          <w:tcPr>
            <w:tcW w:w="5812" w:type="dxa"/>
            <w:vAlign w:val="center"/>
          </w:tcPr>
          <w:p w14:paraId="376E2ADA">
            <w:pPr>
              <w:spacing w:line="360" w:lineRule="auto"/>
              <w:jc w:val="center"/>
            </w:pPr>
            <w:r>
              <w:rPr>
                <w:rFonts w:hint="eastAsia"/>
              </w:rPr>
              <w:t>提供的网络必须具有很强的安全性，确保业务数据传输的安全。</w:t>
            </w:r>
          </w:p>
        </w:tc>
      </w:tr>
      <w:tr w14:paraId="1C2CF3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9" w:hRule="atLeast"/>
        </w:trPr>
        <w:tc>
          <w:tcPr>
            <w:tcW w:w="817" w:type="dxa"/>
            <w:vAlign w:val="center"/>
          </w:tcPr>
          <w:p w14:paraId="7D580479">
            <w:pPr>
              <w:spacing w:line="360" w:lineRule="auto"/>
              <w:jc w:val="center"/>
            </w:pPr>
            <w:r>
              <w:rPr>
                <w:rFonts w:hint="eastAsia"/>
              </w:rPr>
              <w:t>6</w:t>
            </w:r>
          </w:p>
        </w:tc>
        <w:tc>
          <w:tcPr>
            <w:tcW w:w="1701" w:type="dxa"/>
            <w:vAlign w:val="center"/>
          </w:tcPr>
          <w:p w14:paraId="37D230DD">
            <w:pPr>
              <w:spacing w:line="360" w:lineRule="auto"/>
              <w:jc w:val="center"/>
            </w:pPr>
            <w:r>
              <w:rPr>
                <w:rFonts w:hint="eastAsia"/>
              </w:rPr>
              <w:t>售后服务要求</w:t>
            </w:r>
          </w:p>
        </w:tc>
        <w:tc>
          <w:tcPr>
            <w:tcW w:w="5812" w:type="dxa"/>
            <w:vAlign w:val="center"/>
          </w:tcPr>
          <w:p w14:paraId="7C5E7B0A">
            <w:pPr>
              <w:spacing w:line="360" w:lineRule="auto"/>
              <w:jc w:val="center"/>
              <w:rPr>
                <w:rFonts w:ascii="宋体" w:hAnsi="宋体"/>
              </w:rPr>
            </w:pPr>
            <w:r>
              <w:rPr>
                <w:rFonts w:hint="eastAsia"/>
              </w:rPr>
              <w:t>提供7×24小时的维护和服务，一般故障在20分钟内响应，1小时内解决；需要到现场进行判断和处理的情况，1小时内解决故障，并在故障处理完毕后3个工作日内提供故障处理报告。</w:t>
            </w:r>
          </w:p>
        </w:tc>
      </w:tr>
      <w:tr w14:paraId="375E0C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9" w:hRule="atLeast"/>
        </w:trPr>
        <w:tc>
          <w:tcPr>
            <w:tcW w:w="817" w:type="dxa"/>
            <w:vAlign w:val="center"/>
          </w:tcPr>
          <w:p w14:paraId="373D7A62">
            <w:pPr>
              <w:spacing w:line="360" w:lineRule="auto"/>
              <w:jc w:val="center"/>
            </w:pPr>
            <w:r>
              <w:rPr>
                <w:rFonts w:hint="eastAsia"/>
              </w:rPr>
              <w:t>7</w:t>
            </w:r>
          </w:p>
        </w:tc>
        <w:tc>
          <w:tcPr>
            <w:tcW w:w="1701" w:type="dxa"/>
            <w:vAlign w:val="center"/>
          </w:tcPr>
          <w:p w14:paraId="1C1E25E6">
            <w:pPr>
              <w:spacing w:line="360" w:lineRule="auto"/>
              <w:jc w:val="center"/>
            </w:pPr>
            <w:r>
              <w:rPr>
                <w:rFonts w:hint="eastAsia"/>
              </w:rPr>
              <w:t>投标单位资质要求</w:t>
            </w:r>
          </w:p>
        </w:tc>
        <w:tc>
          <w:tcPr>
            <w:tcW w:w="5812" w:type="dxa"/>
            <w:vAlign w:val="center"/>
          </w:tcPr>
          <w:p w14:paraId="52893D90">
            <w:pPr>
              <w:spacing w:line="360" w:lineRule="auto"/>
              <w:jc w:val="center"/>
            </w:pPr>
            <w:r>
              <w:rPr>
                <w:rFonts w:hint="eastAsia" w:ascii="宋体" w:hAnsi="宋体"/>
              </w:rPr>
              <w:t>投标人必须提供</w:t>
            </w:r>
            <w:bookmarkStart w:id="0" w:name="_GoBack"/>
            <w:r>
              <w:rPr>
                <w:rFonts w:hint="eastAsia" w:ascii="宋体" w:hAnsi="宋体"/>
              </w:rPr>
              <w:t>《中华人民共和国基础电信业务经营许可证》，或者提供基础电信运营商出具的授权证明材料。</w:t>
            </w:r>
            <w:bookmarkEnd w:id="0"/>
          </w:p>
        </w:tc>
      </w:tr>
      <w:tr w14:paraId="510D44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14" w:hRule="atLeast"/>
        </w:trPr>
        <w:tc>
          <w:tcPr>
            <w:tcW w:w="817" w:type="dxa"/>
            <w:vAlign w:val="center"/>
          </w:tcPr>
          <w:p w14:paraId="3776C519">
            <w:pPr>
              <w:spacing w:line="360" w:lineRule="auto"/>
              <w:jc w:val="center"/>
            </w:pPr>
            <w:r>
              <w:rPr>
                <w:rFonts w:hint="eastAsia"/>
              </w:rPr>
              <w:t>8</w:t>
            </w:r>
          </w:p>
        </w:tc>
        <w:tc>
          <w:tcPr>
            <w:tcW w:w="1701" w:type="dxa"/>
            <w:vAlign w:val="center"/>
          </w:tcPr>
          <w:p w14:paraId="25AE3073">
            <w:pPr>
              <w:spacing w:line="360" w:lineRule="auto"/>
              <w:jc w:val="center"/>
            </w:pPr>
            <w:r>
              <w:rPr>
                <w:rFonts w:hint="eastAsia"/>
              </w:rPr>
              <w:t>投标单位业绩要求</w:t>
            </w:r>
          </w:p>
        </w:tc>
        <w:tc>
          <w:tcPr>
            <w:tcW w:w="5812" w:type="dxa"/>
            <w:vAlign w:val="center"/>
          </w:tcPr>
          <w:p w14:paraId="083CEBA1">
            <w:pPr>
              <w:spacing w:line="360" w:lineRule="auto"/>
              <w:jc w:val="center"/>
            </w:pPr>
            <w:r>
              <w:rPr>
                <w:rFonts w:hint="eastAsia" w:ascii="宋体" w:hAnsi="宋体"/>
              </w:rPr>
              <w:t>项目申报单位具备所投产品近3年2份合同业绩。</w:t>
            </w:r>
          </w:p>
        </w:tc>
      </w:tr>
    </w:tbl>
    <w:p w14:paraId="3FA3E97D"/>
    <w:p w14:paraId="5CE2ADC8"/>
    <w:p w14:paraId="36BE36FE">
      <w:pPr>
        <w:tabs>
          <w:tab w:val="left" w:pos="5805"/>
        </w:tabs>
        <w:spacing w:line="360" w:lineRule="auto"/>
        <w:rPr>
          <w:bCs/>
        </w:rPr>
      </w:pPr>
    </w:p>
    <w:sectPr>
      <w:pgSz w:w="11900" w:h="16840"/>
      <w:pgMar w:top="1702"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FE"/>
    <w:rsid w:val="0000090E"/>
    <w:rsid w:val="00006AD7"/>
    <w:rsid w:val="00043591"/>
    <w:rsid w:val="00065578"/>
    <w:rsid w:val="000772A3"/>
    <w:rsid w:val="00091892"/>
    <w:rsid w:val="000A7C13"/>
    <w:rsid w:val="000C2E02"/>
    <w:rsid w:val="000C75AD"/>
    <w:rsid w:val="000D260C"/>
    <w:rsid w:val="000D3092"/>
    <w:rsid w:val="000E0705"/>
    <w:rsid w:val="00141EDE"/>
    <w:rsid w:val="00142D72"/>
    <w:rsid w:val="00146A55"/>
    <w:rsid w:val="00173B9B"/>
    <w:rsid w:val="001844C2"/>
    <w:rsid w:val="001A437B"/>
    <w:rsid w:val="001A4D0C"/>
    <w:rsid w:val="001B0F89"/>
    <w:rsid w:val="001B77CD"/>
    <w:rsid w:val="001D1A45"/>
    <w:rsid w:val="001D263C"/>
    <w:rsid w:val="001F726E"/>
    <w:rsid w:val="00204180"/>
    <w:rsid w:val="00205A3B"/>
    <w:rsid w:val="00236B3A"/>
    <w:rsid w:val="0024656D"/>
    <w:rsid w:val="00281AC1"/>
    <w:rsid w:val="002831D8"/>
    <w:rsid w:val="002906D7"/>
    <w:rsid w:val="002A3902"/>
    <w:rsid w:val="002E1C4F"/>
    <w:rsid w:val="002E317F"/>
    <w:rsid w:val="00360947"/>
    <w:rsid w:val="00367837"/>
    <w:rsid w:val="003E0B8B"/>
    <w:rsid w:val="004271E3"/>
    <w:rsid w:val="00433E9C"/>
    <w:rsid w:val="0045446A"/>
    <w:rsid w:val="00455295"/>
    <w:rsid w:val="00497190"/>
    <w:rsid w:val="004B4094"/>
    <w:rsid w:val="004C3BCB"/>
    <w:rsid w:val="004E15A1"/>
    <w:rsid w:val="0054111B"/>
    <w:rsid w:val="00541551"/>
    <w:rsid w:val="005532EB"/>
    <w:rsid w:val="005B19F0"/>
    <w:rsid w:val="005C560E"/>
    <w:rsid w:val="005D4BCF"/>
    <w:rsid w:val="00602E9B"/>
    <w:rsid w:val="00630097"/>
    <w:rsid w:val="00632FE7"/>
    <w:rsid w:val="00645481"/>
    <w:rsid w:val="0068057D"/>
    <w:rsid w:val="006B0189"/>
    <w:rsid w:val="006B5B20"/>
    <w:rsid w:val="006C736D"/>
    <w:rsid w:val="006D77DF"/>
    <w:rsid w:val="006E5F58"/>
    <w:rsid w:val="006F4DB5"/>
    <w:rsid w:val="007057E0"/>
    <w:rsid w:val="00707A87"/>
    <w:rsid w:val="00747635"/>
    <w:rsid w:val="00753938"/>
    <w:rsid w:val="007C3F6E"/>
    <w:rsid w:val="007E1347"/>
    <w:rsid w:val="00816E52"/>
    <w:rsid w:val="008227A1"/>
    <w:rsid w:val="00853CB4"/>
    <w:rsid w:val="008620C1"/>
    <w:rsid w:val="008670FF"/>
    <w:rsid w:val="00873FF0"/>
    <w:rsid w:val="00882C7B"/>
    <w:rsid w:val="008B0FE0"/>
    <w:rsid w:val="008B5085"/>
    <w:rsid w:val="008C0AB5"/>
    <w:rsid w:val="008C7395"/>
    <w:rsid w:val="008D2FBA"/>
    <w:rsid w:val="008E6D25"/>
    <w:rsid w:val="009158D8"/>
    <w:rsid w:val="00917658"/>
    <w:rsid w:val="009264EE"/>
    <w:rsid w:val="0093171E"/>
    <w:rsid w:val="009705D5"/>
    <w:rsid w:val="009C100D"/>
    <w:rsid w:val="00A54541"/>
    <w:rsid w:val="00A569E7"/>
    <w:rsid w:val="00A81CF7"/>
    <w:rsid w:val="00A968DF"/>
    <w:rsid w:val="00AD4AA4"/>
    <w:rsid w:val="00B14D46"/>
    <w:rsid w:val="00B24FB7"/>
    <w:rsid w:val="00B467B9"/>
    <w:rsid w:val="00B630C7"/>
    <w:rsid w:val="00B77A9B"/>
    <w:rsid w:val="00B829FD"/>
    <w:rsid w:val="00BA1A76"/>
    <w:rsid w:val="00BA3FF4"/>
    <w:rsid w:val="00BA6DB6"/>
    <w:rsid w:val="00BA7907"/>
    <w:rsid w:val="00BB0CBA"/>
    <w:rsid w:val="00BF3A62"/>
    <w:rsid w:val="00C470E7"/>
    <w:rsid w:val="00C50856"/>
    <w:rsid w:val="00C52717"/>
    <w:rsid w:val="00CC08F6"/>
    <w:rsid w:val="00CC6136"/>
    <w:rsid w:val="00D05B82"/>
    <w:rsid w:val="00D22737"/>
    <w:rsid w:val="00D352CB"/>
    <w:rsid w:val="00D423F1"/>
    <w:rsid w:val="00D53345"/>
    <w:rsid w:val="00D73103"/>
    <w:rsid w:val="00D9492C"/>
    <w:rsid w:val="00DC6367"/>
    <w:rsid w:val="00DC77FE"/>
    <w:rsid w:val="00E15896"/>
    <w:rsid w:val="00E53E20"/>
    <w:rsid w:val="00E57290"/>
    <w:rsid w:val="00EA67C9"/>
    <w:rsid w:val="00EB1DB4"/>
    <w:rsid w:val="00EB685C"/>
    <w:rsid w:val="00EC1649"/>
    <w:rsid w:val="00EC2F66"/>
    <w:rsid w:val="00ED0298"/>
    <w:rsid w:val="00F20150"/>
    <w:rsid w:val="00F34CB2"/>
    <w:rsid w:val="00F67DEE"/>
    <w:rsid w:val="00F7762C"/>
    <w:rsid w:val="00FB63A1"/>
    <w:rsid w:val="00FF67ED"/>
    <w:rsid w:val="30BA00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iPriority w:val="0"/>
    <w:pPr>
      <w:ind w:firstLine="420"/>
    </w:pPr>
    <w:rPr>
      <w:rFonts w:ascii="Times New Roman" w:hAnsi="Times New Roman" w:eastAsia="宋体" w:cs="Times New Roman"/>
      <w:sz w:val="21"/>
      <w:szCs w:val="20"/>
    </w:rPr>
  </w:style>
  <w:style w:type="paragraph" w:styleId="6">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0">
    <w:name w:val="标题 字符"/>
    <w:basedOn w:val="9"/>
    <w:link w:val="6"/>
    <w:qFormat/>
    <w:uiPriority w:val="10"/>
    <w:rPr>
      <w:rFonts w:eastAsia="宋体" w:asciiTheme="majorHAnsi" w:hAnsiTheme="majorHAnsi" w:cstheme="majorBidi"/>
      <w:b/>
      <w:bCs/>
      <w:sz w:val="32"/>
      <w:szCs w:val="32"/>
    </w:rPr>
  </w:style>
  <w:style w:type="paragraph" w:styleId="11">
    <w:name w:val="List Paragraph"/>
    <w:basedOn w:val="1"/>
    <w:link w:val="15"/>
    <w:qFormat/>
    <w:uiPriority w:val="34"/>
    <w:pPr>
      <w:ind w:firstLine="420" w:firstLineChars="200"/>
    </w:pPr>
  </w:style>
  <w:style w:type="character" w:customStyle="1" w:styleId="12">
    <w:name w:val="标题 1 字符"/>
    <w:basedOn w:val="9"/>
    <w:link w:val="2"/>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character" w:customStyle="1" w:styleId="14">
    <w:name w:val="标题 3 字符"/>
    <w:basedOn w:val="9"/>
    <w:link w:val="4"/>
    <w:uiPriority w:val="9"/>
    <w:rPr>
      <w:b/>
      <w:bCs/>
      <w:sz w:val="32"/>
      <w:szCs w:val="32"/>
    </w:rPr>
  </w:style>
  <w:style w:type="character" w:customStyle="1" w:styleId="15">
    <w:name w:val="列表段落 字符"/>
    <w:link w:val="11"/>
    <w:qFormat/>
    <w:uiPriority w:val="34"/>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946</Words>
  <Characters>1030</Characters>
  <Lines>7</Lines>
  <Paragraphs>2</Paragraphs>
  <TotalTime>15</TotalTime>
  <ScaleCrop>false</ScaleCrop>
  <LinksUpToDate>false</LinksUpToDate>
  <CharactersWithSpaces>1041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2025-12-04T00:50:00Z</dcterms:created>
  <dc:creator>Microsoft Office 用户</dc:creator>
  <cp:lastModifiedBy>forest</cp:lastModifiedBy>
  <cp:lastPrinted>2018-10-31T06:19:00Z</cp:lastPrinted>
  <dcterms:modified xsi:type="dcterms:W3CDTF">2025-12-05T07:41:50Z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eyJoZGlkIjoiMjk4ZGUxM2UwZmY0OGQ5ODczYzJkYzhmMzNiMjIyNGEiLCJ1c2VySWQiOiIxMjIwMTMwNDEwIn0=</vt:lpwstr>
  </property>
  <property fmtid="{D5CDD505-2E9C-101B-9397-08002B2CF9AE}" pid="3" name="KSOProductBuildVer">
    <vt:lpwstr>2052-12.1.0.23542</vt:lpwstr>
  </property>
  <property fmtid="{D5CDD505-2E9C-101B-9397-08002B2CF9AE}" pid="4" name="ICV">
    <vt:lpwstr>15C4C5F421C54C6DADBDC29EB47FC195_12</vt:lpwstr>
  </property>
</Properties>
</file>