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BCC9D">
      <w:pPr>
        <w:pStyle w:val="10"/>
        <w:rPr>
          <w:rFonts w:ascii="宋体" w:hAnsi="宋体" w:eastAsia="宋体"/>
          <w:sz w:val="44"/>
          <w:szCs w:val="44"/>
          <w:lang w:eastAsia="zh-CN"/>
        </w:rPr>
      </w:pPr>
      <w:r>
        <w:rPr>
          <w:rFonts w:hint="eastAsia" w:ascii="宋体" w:hAnsi="宋体" w:eastAsia="宋体"/>
          <w:sz w:val="44"/>
          <w:szCs w:val="44"/>
          <w:lang w:eastAsia="zh-CN"/>
        </w:rPr>
        <w:t>肿瘤医院安全设备特征库授权及服务采购需求</w:t>
      </w:r>
    </w:p>
    <w:p w14:paraId="6EE4E414">
      <w:pPr>
        <w:pStyle w:val="4"/>
        <w:numPr>
          <w:ilvl w:val="0"/>
          <w:numId w:val="1"/>
        </w:numPr>
      </w:pPr>
      <w:r>
        <w:rPr>
          <w:rFonts w:hint="eastAsia"/>
        </w:rPr>
        <w:t>项目背景</w:t>
      </w:r>
    </w:p>
    <w:p w14:paraId="45AD82B0">
      <w:pPr>
        <w:pStyle w:val="5"/>
        <w:widowControl w:val="0"/>
        <w:spacing w:line="360" w:lineRule="auto"/>
        <w:ind w:firstLine="480" w:firstLineChars="200"/>
        <w:rPr>
          <w:rFonts w:hAnsi="宋体" w:eastAsia="宋体" w:cs="宋体"/>
          <w:color w:val="000000"/>
          <w:kern w:val="2"/>
          <w:u w:color="000000"/>
          <w:lang w:eastAsia="zh-CN"/>
        </w:rPr>
      </w:pPr>
      <w:r>
        <w:rPr>
          <w:rFonts w:hint="eastAsia" w:hAnsi="宋体" w:eastAsia="宋体" w:cs="宋体"/>
          <w:color w:val="000000"/>
          <w:kern w:val="2"/>
          <w:u w:color="000000"/>
          <w:lang w:eastAsia="zh-CN"/>
        </w:rPr>
        <w:t>中国医学院肿瘤医院就网络安全设备维保与技术支持服务进行采购，本项目目标是通过为肿瘤医院网络安全设备提供维保及技术支持服务，以确保网络安全设备稳定运行。</w:t>
      </w:r>
    </w:p>
    <w:p w14:paraId="0A1A5FFF">
      <w:pPr>
        <w:pStyle w:val="4"/>
        <w:numPr>
          <w:ilvl w:val="0"/>
          <w:numId w:val="1"/>
        </w:numPr>
      </w:pPr>
      <w:r>
        <w:rPr>
          <w:rFonts w:hint="eastAsia"/>
          <w:lang w:eastAsia="zh-CN"/>
        </w:rPr>
        <w:t>项目需求</w:t>
      </w:r>
    </w:p>
    <w:p w14:paraId="75563999">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项目周期：一年。项目服务方式：</w:t>
      </w:r>
      <w:bookmarkStart w:id="0" w:name="OLE_LINK71"/>
      <w:bookmarkStart w:id="1" w:name="OLE_LINK70"/>
      <w:r>
        <w:rPr>
          <w:rFonts w:hint="eastAsia" w:ascii="宋体" w:hAnsi="宋体" w:eastAsia="宋体" w:cs="宋体"/>
          <w:color w:val="000000"/>
          <w:kern w:val="2"/>
          <w:u w:color="000000"/>
          <w:lang w:eastAsia="zh-CN"/>
        </w:rPr>
        <w:t>远程支持</w:t>
      </w:r>
      <w:bookmarkEnd w:id="0"/>
      <w:bookmarkEnd w:id="1"/>
      <w:r>
        <w:rPr>
          <w:rFonts w:hint="eastAsia" w:ascii="宋体" w:hAnsi="宋体" w:eastAsia="宋体" w:cs="宋体"/>
          <w:color w:val="000000"/>
          <w:kern w:val="2"/>
          <w:u w:color="000000"/>
          <w:lang w:eastAsia="zh-CN"/>
        </w:rPr>
        <w:t>+上门支持。服务范围：见清单。项目服务内容：</w:t>
      </w:r>
      <w:bookmarkStart w:id="2" w:name="OLE_LINK75"/>
      <w:bookmarkStart w:id="3" w:name="OLE_LINK74"/>
      <w:r>
        <w:rPr>
          <w:rFonts w:hint="eastAsia" w:ascii="宋体" w:hAnsi="宋体" w:eastAsia="宋体" w:cs="宋体"/>
          <w:color w:val="000000"/>
          <w:kern w:val="2"/>
          <w:u w:color="000000"/>
          <w:lang w:eastAsia="zh-CN"/>
        </w:rPr>
        <w:t>原厂软件（含特征库）升级、巡检、维修等标准技术支持服务</w:t>
      </w:r>
      <w:bookmarkEnd w:id="2"/>
      <w:bookmarkEnd w:id="3"/>
      <w:r>
        <w:rPr>
          <w:rFonts w:hint="eastAsia" w:ascii="宋体" w:hAnsi="宋体" w:eastAsia="宋体" w:cs="宋体"/>
          <w:color w:val="000000"/>
          <w:kern w:val="2"/>
          <w:u w:color="000000"/>
          <w:lang w:eastAsia="zh-CN"/>
        </w:rPr>
        <w:t>，具体如下。</w:t>
      </w:r>
    </w:p>
    <w:p w14:paraId="27C34A06">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（1）远程支持</w:t>
      </w:r>
    </w:p>
    <w:p w14:paraId="152F053A">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服务提供方针对本项目</w:t>
      </w:r>
      <w:bookmarkStart w:id="4" w:name="OLE_LINK72"/>
      <w:bookmarkStart w:id="5" w:name="OLE_LINK73"/>
      <w:r>
        <w:rPr>
          <w:rFonts w:hint="eastAsia" w:ascii="宋体" w:hAnsi="宋体" w:eastAsia="宋体" w:cs="宋体"/>
          <w:color w:val="000000"/>
          <w:kern w:val="2"/>
          <w:u w:color="000000"/>
          <w:lang w:eastAsia="zh-CN"/>
        </w:rPr>
        <w:t>涵盖的硬件产品</w:t>
      </w:r>
      <w:bookmarkEnd w:id="4"/>
      <w:bookmarkEnd w:id="5"/>
      <w:r>
        <w:rPr>
          <w:rFonts w:hint="eastAsia" w:ascii="宋体" w:hAnsi="宋体" w:eastAsia="宋体" w:cs="宋体"/>
          <w:color w:val="000000"/>
          <w:kern w:val="2"/>
          <w:u w:color="000000"/>
          <w:lang w:eastAsia="zh-CN"/>
        </w:rPr>
        <w:t>提供7*24的电话、邮件等渠道的远程支持服务，并提出切实有效的解决方案。</w:t>
      </w:r>
    </w:p>
    <w:p w14:paraId="7A479984">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（2）现场支持</w:t>
      </w:r>
    </w:p>
    <w:p w14:paraId="14544EC0">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服务提供方针对本项目涵盖的硬件产品自身问题导致的故障提供支持响应，响应后2小时人员到达现场。包括不限于健康性检查，产品自身软硬件故障、缺陷处置。</w:t>
      </w:r>
    </w:p>
    <w:p w14:paraId="3200B875">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（3）巡检服务</w:t>
      </w:r>
    </w:p>
    <w:p w14:paraId="0006B479">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按照需求方要求提供现场巡检服务，服务时间标准为：每季度提供一次现场巡检，在</w:t>
      </w:r>
      <w:bookmarkStart w:id="6" w:name="OLE_LINK2"/>
      <w:bookmarkStart w:id="7" w:name="OLE_LINK1"/>
      <w:r>
        <w:rPr>
          <w:rFonts w:hint="eastAsia" w:ascii="宋体" w:hAnsi="宋体" w:eastAsia="宋体" w:cs="宋体"/>
          <w:color w:val="000000"/>
          <w:kern w:val="2"/>
          <w:u w:color="000000"/>
          <w:lang w:eastAsia="zh-CN"/>
        </w:rPr>
        <w:t>重大活动、重大事件</w:t>
      </w:r>
      <w:bookmarkEnd w:id="6"/>
      <w:bookmarkEnd w:id="7"/>
      <w:r>
        <w:rPr>
          <w:rFonts w:hint="eastAsia" w:ascii="宋体" w:hAnsi="宋体" w:eastAsia="宋体" w:cs="宋体"/>
          <w:color w:val="000000"/>
          <w:kern w:val="2"/>
          <w:u w:color="000000"/>
          <w:lang w:eastAsia="zh-CN"/>
        </w:rPr>
        <w:t>等关键业务时段，按需求方要求提供巡检，服务内容包括但不限于：现场维护、咨询、性能诊断和调优等服务，每次巡检后提交产品运行评估报告。</w:t>
      </w:r>
    </w:p>
    <w:p w14:paraId="7820E370">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（4）软件升级</w:t>
      </w:r>
    </w:p>
    <w:p w14:paraId="58EEF7C3">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维保期内，服务提供方免费为需求方提供本项目服务对象的补丁、大小版本升级涉及的升级介质、升级方案及实施支持等服务，保证需求方系统正常运行。</w:t>
      </w:r>
    </w:p>
    <w:p w14:paraId="5C7D568A">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（5）设备维修和备件服务</w:t>
      </w:r>
    </w:p>
    <w:p w14:paraId="78DF71C9">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提供硬件维保技术服务，包括硬件设备维修与</w:t>
      </w:r>
      <w:r>
        <w:rPr>
          <w:rFonts w:hint="eastAsia" w:ascii="宋体" w:hAnsi="宋体" w:eastAsia="宋体" w:cs="宋体"/>
          <w:color w:val="000000"/>
          <w:kern w:val="2"/>
          <w:highlight w:val="yellow"/>
          <w:u w:color="000000"/>
          <w:lang w:eastAsia="zh-CN"/>
        </w:rPr>
        <w:t>更换（包干形式）</w:t>
      </w:r>
      <w:r>
        <w:rPr>
          <w:rFonts w:hint="eastAsia" w:ascii="宋体" w:hAnsi="宋体" w:eastAsia="宋体" w:cs="宋体"/>
          <w:color w:val="000000"/>
          <w:kern w:val="2"/>
          <w:u w:color="000000"/>
          <w:lang w:eastAsia="zh-CN"/>
        </w:rPr>
        <w:t>、备件服务、</w:t>
      </w:r>
      <w:r>
        <w:rPr>
          <w:rFonts w:hint="eastAsia" w:ascii="宋体" w:hAnsi="宋体" w:eastAsia="宋体" w:cs="宋体"/>
          <w:color w:val="000000"/>
          <w:kern w:val="2"/>
          <w:highlight w:val="yellow"/>
          <w:u w:color="000000"/>
          <w:lang w:eastAsia="zh-CN"/>
        </w:rPr>
        <w:t>远程技术支持、硬盘不返还服务</w:t>
      </w:r>
      <w:r>
        <w:rPr>
          <w:rFonts w:hint="eastAsia" w:ascii="宋体" w:hAnsi="宋体" w:eastAsia="宋体" w:cs="宋体"/>
          <w:color w:val="000000"/>
          <w:kern w:val="2"/>
          <w:u w:color="000000"/>
          <w:lang w:eastAsia="zh-CN"/>
        </w:rPr>
        <w:t>。</w:t>
      </w:r>
      <w:r>
        <w:rPr>
          <w:rFonts w:hint="eastAsia" w:ascii="宋体" w:hAnsi="宋体" w:eastAsia="宋体" w:cs="宋体"/>
          <w:color w:val="000000"/>
          <w:kern w:val="2"/>
          <w:highlight w:val="yellow"/>
          <w:u w:color="000000"/>
          <w:lang w:eastAsia="zh-CN"/>
        </w:rPr>
        <w:t>在遇有重大事件，如系统上线，或重大变更，由总中心统一协调，可临时安排备件现场支持。</w:t>
      </w:r>
    </w:p>
    <w:p w14:paraId="4444D67A">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highlight w:val="yellow"/>
          <w:u w:color="000000"/>
          <w:lang w:eastAsia="zh-CN"/>
        </w:rPr>
        <w:t>服务期内，每周7天，每天24小时设备维修和备件服务。服务提供方在收到运行维护部门故障申报后15分钟内做出响应，并给出解决方案，备件应在发出更换请求后4小时内到达现场进行更换，确保设备恢复正常运行。</w:t>
      </w:r>
    </w:p>
    <w:p w14:paraId="62A0EBC7">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highlight w:val="yellow"/>
          <w:u w:color="000000"/>
          <w:lang w:eastAsia="zh-CN"/>
        </w:rPr>
        <w:t>（6）软件兼容性</w:t>
      </w:r>
    </w:p>
    <w:p w14:paraId="256E9828">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在与需求方使用主流品牌的硬件、软件产品出现兼容性问题时，服务提供方须积极配合，与有关硬件、软件厂商和需求方接洽，及时定位问题原因、寻求解决方案。原厂商产品如在兼容性方面与需求方现有环境出现无法修复的问题，需求方有权停止验收，且由服务提供方和原厂商承担相应责任。</w:t>
      </w:r>
    </w:p>
    <w:p w14:paraId="7436A1EB">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（7）事件升级</w:t>
      </w:r>
    </w:p>
    <w:p w14:paraId="00F86CBF">
      <w:pPr>
        <w:spacing w:line="360" w:lineRule="auto"/>
        <w:ind w:firstLine="480" w:firstLineChars="200"/>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当一线工程师在2小时内无法诊断定位或解决问题，须提高服务响应级别。对未完全解决的问题，服务工程师须至少每周与需求方工程师联系，跟踪问题，分析协商处理方案，直至问题解决。</w:t>
      </w:r>
    </w:p>
    <w:p w14:paraId="08A63288">
      <w:pPr>
        <w:pStyle w:val="4"/>
        <w:numPr>
          <w:ilvl w:val="0"/>
          <w:numId w:val="1"/>
        </w:numPr>
      </w:pPr>
      <w:r>
        <w:rPr>
          <w:rFonts w:hint="eastAsia"/>
        </w:rPr>
        <w:t>设备清单</w:t>
      </w:r>
    </w:p>
    <w:tbl>
      <w:tblPr>
        <w:tblStyle w:val="11"/>
        <w:tblW w:w="8119" w:type="dxa"/>
        <w:tblInd w:w="98" w:type="dxa"/>
        <w:tblLayout w:type="fixed"/>
        <w:tblCellMar>
          <w:top w:w="0" w:type="dxa"/>
          <w:left w:w="108" w:type="dxa"/>
          <w:bottom w:w="0" w:type="dxa"/>
          <w:right w:w="108" w:type="dxa"/>
        </w:tblCellMar>
      </w:tblPr>
      <w:tblGrid>
        <w:gridCol w:w="658"/>
        <w:gridCol w:w="2358"/>
        <w:gridCol w:w="992"/>
        <w:gridCol w:w="2268"/>
        <w:gridCol w:w="1843"/>
      </w:tblGrid>
      <w:tr w14:paraId="68BBD8E9">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46A24265">
            <w:pPr>
              <w:jc w:val="center"/>
              <w:textAlignment w:val="center"/>
              <w:rPr>
                <w:rFonts w:ascii="宋体" w:hAnsi="宋体" w:eastAsia="宋体" w:cs="宋体"/>
                <w:color w:val="000000"/>
              </w:rPr>
            </w:pPr>
            <w:r>
              <w:rPr>
                <w:rFonts w:hint="eastAsia" w:ascii="宋体" w:hAnsi="宋体" w:eastAsia="宋体" w:cs="宋体"/>
                <w:color w:val="000000"/>
                <w:lang w:eastAsia="zh-CN" w:bidi="ar"/>
              </w:rPr>
              <w:t>序号</w:t>
            </w:r>
          </w:p>
        </w:tc>
        <w:tc>
          <w:tcPr>
            <w:tcW w:w="2358"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3DA98408">
            <w:pPr>
              <w:jc w:val="center"/>
              <w:textAlignment w:val="center"/>
              <w:rPr>
                <w:rFonts w:ascii="宋体" w:hAnsi="宋体" w:eastAsia="宋体" w:cs="宋体"/>
                <w:color w:val="000000"/>
              </w:rPr>
            </w:pPr>
            <w:r>
              <w:rPr>
                <w:rFonts w:hint="eastAsia" w:ascii="宋体" w:hAnsi="宋体" w:eastAsia="宋体" w:cs="宋体"/>
                <w:color w:val="000000"/>
                <w:lang w:eastAsia="zh-CN" w:bidi="ar"/>
              </w:rPr>
              <w:t>资产名称</w:t>
            </w:r>
          </w:p>
        </w:tc>
        <w:tc>
          <w:tcPr>
            <w:tcW w:w="992"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546639A4">
            <w:pPr>
              <w:jc w:val="center"/>
              <w:textAlignment w:val="center"/>
              <w:rPr>
                <w:rFonts w:ascii="宋体" w:hAnsi="宋体" w:eastAsia="宋体" w:cs="宋体"/>
                <w:color w:val="000000"/>
              </w:rPr>
            </w:pPr>
            <w:r>
              <w:rPr>
                <w:rFonts w:hint="eastAsia" w:ascii="宋体" w:hAnsi="宋体" w:eastAsia="宋体" w:cs="宋体"/>
                <w:color w:val="000000"/>
                <w:lang w:eastAsia="zh-CN" w:bidi="ar"/>
              </w:rPr>
              <w:t>品牌</w:t>
            </w:r>
          </w:p>
        </w:tc>
        <w:tc>
          <w:tcPr>
            <w:tcW w:w="2268"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5CD73AF6">
            <w:pPr>
              <w:jc w:val="center"/>
              <w:textAlignment w:val="center"/>
              <w:rPr>
                <w:rFonts w:ascii="宋体" w:hAnsi="宋体" w:eastAsia="宋体" w:cs="宋体"/>
                <w:color w:val="000000"/>
              </w:rPr>
            </w:pPr>
            <w:r>
              <w:rPr>
                <w:rFonts w:hint="eastAsia" w:ascii="宋体" w:hAnsi="宋体" w:eastAsia="宋体" w:cs="宋体"/>
                <w:color w:val="000000"/>
                <w:lang w:eastAsia="zh-CN" w:bidi="ar"/>
              </w:rPr>
              <w:t>规格型号</w:t>
            </w:r>
          </w:p>
        </w:tc>
        <w:tc>
          <w:tcPr>
            <w:tcW w:w="1843"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77CF7C74">
            <w:pPr>
              <w:jc w:val="center"/>
              <w:textAlignment w:val="center"/>
              <w:rPr>
                <w:rFonts w:ascii="宋体" w:hAnsi="宋体" w:eastAsia="宋体" w:cs="宋体"/>
                <w:color w:val="000000"/>
              </w:rPr>
            </w:pPr>
            <w:r>
              <w:rPr>
                <w:rFonts w:hint="eastAsia" w:ascii="宋体" w:hAnsi="宋体" w:eastAsia="宋体" w:cs="宋体"/>
                <w:color w:val="000000"/>
                <w:lang w:eastAsia="zh-CN" w:bidi="ar"/>
              </w:rPr>
              <w:t>服务要求</w:t>
            </w:r>
          </w:p>
        </w:tc>
      </w:tr>
      <w:tr w14:paraId="69EAAEA2">
        <w:tblPrEx>
          <w:tblCellMar>
            <w:top w:w="0" w:type="dxa"/>
            <w:left w:w="108" w:type="dxa"/>
            <w:bottom w:w="0" w:type="dxa"/>
            <w:right w:w="108" w:type="dxa"/>
          </w:tblCellMar>
        </w:tblPrEx>
        <w:trPr>
          <w:trHeight w:val="310" w:hRule="atLeast"/>
        </w:trPr>
        <w:tc>
          <w:tcPr>
            <w:tcW w:w="658" w:type="dxa"/>
            <w:tcBorders>
              <w:top w:val="nil"/>
              <w:left w:val="single" w:color="000000" w:sz="4" w:space="0"/>
              <w:bottom w:val="single" w:color="000000" w:sz="4" w:space="0"/>
              <w:right w:val="single" w:color="000000" w:sz="4" w:space="0"/>
            </w:tcBorders>
            <w:shd w:val="clear" w:color="auto" w:fill="auto"/>
            <w:noWrap/>
            <w:vAlign w:val="center"/>
          </w:tcPr>
          <w:p w14:paraId="20479E0C">
            <w:pPr>
              <w:jc w:val="center"/>
              <w:textAlignment w:val="center"/>
              <w:rPr>
                <w:rFonts w:ascii="宋体" w:hAnsi="宋体" w:eastAsia="宋体" w:cs="宋体"/>
                <w:color w:val="000000"/>
              </w:rPr>
            </w:pPr>
            <w:r>
              <w:rPr>
                <w:rFonts w:hint="eastAsia" w:ascii="宋体" w:hAnsi="宋体" w:eastAsia="宋体" w:cs="宋体"/>
                <w:color w:val="000000"/>
                <w:lang w:eastAsia="zh-CN" w:bidi="ar"/>
              </w:rPr>
              <w:t>1</w:t>
            </w:r>
          </w:p>
        </w:tc>
        <w:tc>
          <w:tcPr>
            <w:tcW w:w="2358" w:type="dxa"/>
            <w:tcBorders>
              <w:top w:val="nil"/>
              <w:left w:val="single" w:color="000000" w:sz="4" w:space="0"/>
              <w:bottom w:val="single" w:color="000000" w:sz="4" w:space="0"/>
              <w:right w:val="single" w:color="000000" w:sz="4" w:space="0"/>
            </w:tcBorders>
            <w:shd w:val="clear" w:color="auto" w:fill="auto"/>
            <w:noWrap/>
            <w:vAlign w:val="center"/>
          </w:tcPr>
          <w:p w14:paraId="2241E713">
            <w:pPr>
              <w:textAlignment w:val="center"/>
              <w:rPr>
                <w:rFonts w:ascii="宋体" w:hAnsi="宋体" w:eastAsia="宋体" w:cs="宋体"/>
                <w:color w:val="000000"/>
              </w:rPr>
            </w:pPr>
            <w:r>
              <w:rPr>
                <w:rFonts w:hint="eastAsia" w:ascii="宋体" w:hAnsi="宋体" w:eastAsia="宋体" w:cs="宋体"/>
                <w:color w:val="000000"/>
                <w:lang w:eastAsia="zh-CN" w:bidi="ar"/>
              </w:rPr>
              <w:t>专线接入防火墙1</w:t>
            </w:r>
          </w:p>
        </w:tc>
        <w:tc>
          <w:tcPr>
            <w:tcW w:w="992" w:type="dxa"/>
            <w:tcBorders>
              <w:top w:val="nil"/>
              <w:left w:val="single" w:color="000000" w:sz="4" w:space="0"/>
              <w:bottom w:val="single" w:color="000000" w:sz="4" w:space="0"/>
              <w:right w:val="single" w:color="000000" w:sz="4" w:space="0"/>
            </w:tcBorders>
            <w:shd w:val="clear" w:color="auto" w:fill="auto"/>
            <w:noWrap/>
            <w:vAlign w:val="center"/>
          </w:tcPr>
          <w:p w14:paraId="4B362F5E">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nil"/>
              <w:left w:val="single" w:color="000000" w:sz="4" w:space="0"/>
              <w:bottom w:val="single" w:color="000000" w:sz="4" w:space="0"/>
              <w:right w:val="single" w:color="000000" w:sz="4" w:space="0"/>
            </w:tcBorders>
            <w:shd w:val="clear" w:color="auto" w:fill="auto"/>
            <w:noWrap/>
            <w:vAlign w:val="center"/>
          </w:tcPr>
          <w:p w14:paraId="23EFE4D0">
            <w:pPr>
              <w:textAlignment w:val="center"/>
              <w:rPr>
                <w:rFonts w:ascii="宋体" w:hAnsi="宋体" w:eastAsia="宋体" w:cs="宋体"/>
                <w:color w:val="000000"/>
              </w:rPr>
            </w:pPr>
            <w:r>
              <w:rPr>
                <w:rFonts w:hint="eastAsia" w:ascii="宋体" w:hAnsi="宋体" w:eastAsia="宋体" w:cs="宋体"/>
                <w:color w:val="000000"/>
                <w:lang w:eastAsia="zh-CN" w:bidi="ar"/>
              </w:rPr>
              <w:t>AF-1000-D420-FZ</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1E1">
            <w:pPr>
              <w:jc w:val="both"/>
              <w:textAlignment w:val="center"/>
              <w:rPr>
                <w:rFonts w:ascii="宋体" w:hAnsi="宋体" w:eastAsia="宋体" w:cs="宋体"/>
                <w:color w:val="000000"/>
                <w:lang w:eastAsia="zh-CN"/>
              </w:rPr>
            </w:pPr>
            <w:r>
              <w:rPr>
                <w:rFonts w:hint="eastAsia" w:ascii="宋体" w:hAnsi="宋体" w:eastAsia="宋体" w:cs="宋体"/>
                <w:color w:val="000000"/>
                <w:kern w:val="2"/>
                <w:u w:color="000000"/>
                <w:lang w:eastAsia="zh-CN"/>
              </w:rPr>
              <w:t>原厂软件（含特征库）升级授权</w:t>
            </w:r>
            <w:r>
              <w:rPr>
                <w:rFonts w:hint="eastAsia" w:ascii="宋体" w:hAnsi="宋体" w:eastAsia="宋体" w:cs="宋体"/>
                <w:color w:val="000000"/>
                <w:lang w:eastAsia="zh-CN" w:bidi="ar"/>
              </w:rPr>
              <w:t>由设备原厂商提供，</w:t>
            </w:r>
            <w:r>
              <w:rPr>
                <w:rFonts w:hint="eastAsia" w:ascii="宋体" w:hAnsi="宋体" w:eastAsia="宋体" w:cs="宋体"/>
                <w:color w:val="000000"/>
                <w:kern w:val="2"/>
                <w:u w:color="000000"/>
                <w:lang w:eastAsia="zh-CN"/>
              </w:rPr>
              <w:t>巡检、维修等标准技术支持服务</w:t>
            </w:r>
            <w:r>
              <w:rPr>
                <w:rFonts w:hint="eastAsia" w:ascii="宋体" w:hAnsi="宋体" w:eastAsia="宋体" w:cs="宋体"/>
                <w:color w:val="000000"/>
                <w:lang w:eastAsia="zh-CN" w:bidi="ar"/>
              </w:rPr>
              <w:t>由投标人提供。项目为期1年。</w:t>
            </w:r>
          </w:p>
        </w:tc>
      </w:tr>
      <w:tr w14:paraId="0FA255B2">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2B7B">
            <w:pPr>
              <w:jc w:val="center"/>
              <w:textAlignment w:val="center"/>
              <w:rPr>
                <w:rFonts w:ascii="宋体" w:hAnsi="宋体" w:eastAsia="宋体" w:cs="宋体"/>
                <w:color w:val="000000"/>
              </w:rPr>
            </w:pPr>
            <w:r>
              <w:rPr>
                <w:rFonts w:hint="eastAsia" w:ascii="宋体" w:hAnsi="宋体" w:eastAsia="宋体" w:cs="宋体"/>
                <w:color w:val="000000"/>
                <w:lang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C12D">
            <w:pPr>
              <w:textAlignment w:val="center"/>
              <w:rPr>
                <w:rFonts w:ascii="宋体" w:hAnsi="宋体" w:eastAsia="宋体" w:cs="宋体"/>
                <w:color w:val="000000"/>
              </w:rPr>
            </w:pPr>
            <w:r>
              <w:rPr>
                <w:rFonts w:hint="eastAsia" w:ascii="宋体" w:hAnsi="宋体" w:eastAsia="宋体" w:cs="宋体"/>
                <w:color w:val="000000"/>
                <w:lang w:eastAsia="zh-CN" w:bidi="ar"/>
              </w:rPr>
              <w:t>专线接入防火墙2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132">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08F">
            <w:pPr>
              <w:textAlignment w:val="center"/>
              <w:rPr>
                <w:rFonts w:ascii="宋体" w:hAnsi="宋体" w:eastAsia="宋体" w:cs="宋体"/>
                <w:color w:val="000000"/>
              </w:rPr>
            </w:pPr>
            <w:r>
              <w:rPr>
                <w:rFonts w:hint="eastAsia" w:ascii="宋体" w:hAnsi="宋体" w:eastAsia="宋体" w:cs="宋体"/>
                <w:color w:val="000000"/>
                <w:lang w:eastAsia="zh-CN" w:bidi="ar"/>
              </w:rPr>
              <w:t>AF-1000-D420-FZ</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6C3E">
            <w:pPr>
              <w:jc w:val="both"/>
              <w:rPr>
                <w:rFonts w:ascii="宋体" w:hAnsi="宋体" w:eastAsia="宋体" w:cs="宋体"/>
                <w:color w:val="000000"/>
              </w:rPr>
            </w:pPr>
          </w:p>
        </w:tc>
      </w:tr>
      <w:tr w14:paraId="7D4A9A2F">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5F49">
            <w:pPr>
              <w:jc w:val="center"/>
              <w:textAlignment w:val="center"/>
              <w:rPr>
                <w:rFonts w:ascii="宋体" w:hAnsi="宋体" w:eastAsia="宋体" w:cs="宋体"/>
                <w:color w:val="000000"/>
              </w:rPr>
            </w:pPr>
            <w:r>
              <w:rPr>
                <w:rFonts w:hint="eastAsia" w:ascii="宋体" w:hAnsi="宋体" w:eastAsia="宋体" w:cs="宋体"/>
                <w:color w:val="000000"/>
                <w:lang w:eastAsia="zh-CN" w:bidi="ar"/>
              </w:rPr>
              <w:t>3</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D20B">
            <w:pPr>
              <w:textAlignment w:val="center"/>
              <w:rPr>
                <w:rFonts w:ascii="宋体" w:hAnsi="宋体" w:eastAsia="宋体" w:cs="宋体"/>
                <w:color w:val="000000"/>
              </w:rPr>
            </w:pPr>
            <w:r>
              <w:rPr>
                <w:rFonts w:hint="eastAsia" w:ascii="宋体" w:hAnsi="宋体" w:eastAsia="宋体" w:cs="宋体"/>
                <w:color w:val="000000"/>
                <w:lang w:eastAsia="zh-CN" w:bidi="ar"/>
              </w:rPr>
              <w:t>外网防火墙1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5AA4">
            <w:pPr>
              <w:textAlignment w:val="center"/>
              <w:rPr>
                <w:rFonts w:ascii="宋体" w:hAnsi="宋体" w:eastAsia="宋体" w:cs="宋体"/>
                <w:color w:val="000000"/>
              </w:rPr>
            </w:pPr>
            <w:r>
              <w:rPr>
                <w:rFonts w:hint="eastAsia" w:ascii="宋体" w:hAnsi="宋体" w:eastAsia="宋体" w:cs="宋体"/>
                <w:color w:val="000000"/>
                <w:lang w:eastAsia="zh-CN" w:bidi="ar"/>
              </w:rPr>
              <w:t>网康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046E">
            <w:pPr>
              <w:textAlignment w:val="center"/>
              <w:rPr>
                <w:rFonts w:ascii="宋体" w:hAnsi="宋体" w:eastAsia="宋体" w:cs="宋体"/>
                <w:color w:val="000000"/>
              </w:rPr>
            </w:pPr>
            <w:r>
              <w:rPr>
                <w:rFonts w:hint="eastAsia" w:ascii="宋体" w:hAnsi="宋体" w:eastAsia="宋体" w:cs="宋体"/>
                <w:color w:val="000000"/>
                <w:lang w:eastAsia="zh-CN" w:bidi="ar"/>
              </w:rPr>
              <w:t>NF-3100-MK</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78E5">
            <w:pPr>
              <w:jc w:val="both"/>
              <w:rPr>
                <w:rFonts w:ascii="宋体" w:hAnsi="宋体" w:eastAsia="宋体" w:cs="宋体"/>
                <w:color w:val="000000"/>
              </w:rPr>
            </w:pPr>
          </w:p>
        </w:tc>
      </w:tr>
      <w:tr w14:paraId="5172F006">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503A">
            <w:pPr>
              <w:jc w:val="center"/>
              <w:textAlignment w:val="center"/>
              <w:rPr>
                <w:rFonts w:ascii="宋体" w:hAnsi="宋体" w:eastAsia="宋体" w:cs="宋体"/>
                <w:color w:val="000000"/>
              </w:rPr>
            </w:pPr>
            <w:r>
              <w:rPr>
                <w:rFonts w:hint="eastAsia" w:ascii="宋体" w:hAnsi="宋体" w:eastAsia="宋体" w:cs="宋体"/>
                <w:color w:val="000000"/>
                <w:lang w:eastAsia="zh-CN" w:bidi="ar"/>
              </w:rPr>
              <w:t>4</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8423">
            <w:pPr>
              <w:textAlignment w:val="center"/>
              <w:rPr>
                <w:rFonts w:ascii="宋体" w:hAnsi="宋体" w:eastAsia="宋体" w:cs="宋体"/>
                <w:color w:val="000000"/>
              </w:rPr>
            </w:pPr>
            <w:r>
              <w:rPr>
                <w:rFonts w:hint="eastAsia" w:ascii="宋体" w:hAnsi="宋体" w:eastAsia="宋体" w:cs="宋体"/>
                <w:color w:val="000000"/>
                <w:lang w:eastAsia="zh-CN" w:bidi="ar"/>
              </w:rPr>
              <w:t>外网防火墙2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FC4E">
            <w:pPr>
              <w:textAlignment w:val="center"/>
              <w:rPr>
                <w:rFonts w:ascii="宋体" w:hAnsi="宋体" w:eastAsia="宋体" w:cs="宋体"/>
                <w:color w:val="000000"/>
              </w:rPr>
            </w:pPr>
            <w:r>
              <w:rPr>
                <w:rFonts w:hint="eastAsia" w:ascii="宋体" w:hAnsi="宋体" w:eastAsia="宋体" w:cs="宋体"/>
                <w:color w:val="000000"/>
                <w:lang w:eastAsia="zh-CN" w:bidi="ar"/>
              </w:rPr>
              <w:t>网康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1ECE">
            <w:pPr>
              <w:textAlignment w:val="center"/>
              <w:rPr>
                <w:rFonts w:ascii="宋体" w:hAnsi="宋体" w:eastAsia="宋体" w:cs="宋体"/>
                <w:color w:val="000000"/>
              </w:rPr>
            </w:pPr>
            <w:r>
              <w:rPr>
                <w:rFonts w:hint="eastAsia" w:ascii="宋体" w:hAnsi="宋体" w:eastAsia="宋体" w:cs="宋体"/>
                <w:color w:val="000000"/>
                <w:lang w:eastAsia="zh-CN" w:bidi="ar"/>
              </w:rPr>
              <w:t>NF-3100-MK</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8961">
            <w:pPr>
              <w:jc w:val="both"/>
              <w:rPr>
                <w:rFonts w:ascii="宋体" w:hAnsi="宋体" w:eastAsia="宋体" w:cs="宋体"/>
                <w:color w:val="000000"/>
              </w:rPr>
            </w:pPr>
          </w:p>
        </w:tc>
      </w:tr>
      <w:tr w14:paraId="468C8027">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4F7">
            <w:pPr>
              <w:jc w:val="center"/>
              <w:textAlignment w:val="center"/>
              <w:rPr>
                <w:rFonts w:ascii="宋体" w:hAnsi="宋体" w:eastAsia="宋体" w:cs="宋体"/>
                <w:color w:val="000000"/>
              </w:rPr>
            </w:pPr>
            <w:r>
              <w:rPr>
                <w:rFonts w:hint="eastAsia" w:ascii="宋体" w:hAnsi="宋体" w:eastAsia="宋体" w:cs="宋体"/>
                <w:color w:val="000000"/>
                <w:lang w:eastAsia="zh-CN" w:bidi="ar"/>
              </w:rPr>
              <w:t>5</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ABE9">
            <w:pPr>
              <w:textAlignment w:val="center"/>
              <w:rPr>
                <w:rFonts w:ascii="宋体" w:hAnsi="宋体" w:eastAsia="宋体" w:cs="宋体"/>
                <w:color w:val="000000"/>
              </w:rPr>
            </w:pPr>
            <w:r>
              <w:rPr>
                <w:rFonts w:hint="eastAsia" w:ascii="宋体" w:hAnsi="宋体" w:eastAsia="宋体" w:cs="宋体"/>
                <w:color w:val="000000"/>
                <w:lang w:eastAsia="zh-CN" w:bidi="ar"/>
              </w:rPr>
              <w:t>集成平台防火墙1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786B">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0AA2">
            <w:pPr>
              <w:textAlignment w:val="center"/>
              <w:rPr>
                <w:rFonts w:ascii="宋体" w:hAnsi="宋体" w:eastAsia="宋体" w:cs="宋体"/>
                <w:color w:val="000000"/>
              </w:rPr>
            </w:pPr>
            <w:r>
              <w:rPr>
                <w:rFonts w:hint="eastAsia" w:ascii="宋体" w:hAnsi="宋体" w:eastAsia="宋体" w:cs="宋体"/>
                <w:color w:val="000000"/>
                <w:lang w:eastAsia="zh-CN" w:bidi="ar"/>
              </w:rPr>
              <w:t>AF-1820-DF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3D9B">
            <w:pPr>
              <w:jc w:val="both"/>
              <w:rPr>
                <w:rFonts w:ascii="宋体" w:hAnsi="宋体" w:eastAsia="宋体" w:cs="宋体"/>
                <w:color w:val="000000"/>
              </w:rPr>
            </w:pPr>
          </w:p>
        </w:tc>
      </w:tr>
      <w:tr w14:paraId="5103A8A7">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CF66">
            <w:pPr>
              <w:jc w:val="center"/>
              <w:textAlignment w:val="center"/>
              <w:rPr>
                <w:rFonts w:ascii="宋体" w:hAnsi="宋体" w:eastAsia="宋体" w:cs="宋体"/>
                <w:color w:val="000000"/>
              </w:rPr>
            </w:pPr>
            <w:r>
              <w:rPr>
                <w:rFonts w:hint="eastAsia" w:ascii="宋体" w:hAnsi="宋体" w:eastAsia="宋体" w:cs="宋体"/>
                <w:color w:val="000000"/>
                <w:lang w:eastAsia="zh-CN" w:bidi="ar"/>
              </w:rPr>
              <w:t>6</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B05">
            <w:pPr>
              <w:textAlignment w:val="center"/>
              <w:rPr>
                <w:rFonts w:ascii="宋体" w:hAnsi="宋体" w:eastAsia="宋体" w:cs="宋体"/>
                <w:color w:val="000000"/>
              </w:rPr>
            </w:pPr>
            <w:r>
              <w:rPr>
                <w:rFonts w:hint="eastAsia" w:ascii="宋体" w:hAnsi="宋体" w:eastAsia="宋体" w:cs="宋体"/>
                <w:color w:val="000000"/>
                <w:lang w:eastAsia="zh-CN" w:bidi="ar"/>
              </w:rPr>
              <w:t>集成平台防火墙2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CE9C">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524">
            <w:pPr>
              <w:textAlignment w:val="center"/>
              <w:rPr>
                <w:rFonts w:ascii="宋体" w:hAnsi="宋体" w:eastAsia="宋体" w:cs="宋体"/>
                <w:color w:val="000000"/>
              </w:rPr>
            </w:pPr>
            <w:r>
              <w:rPr>
                <w:rFonts w:hint="eastAsia" w:ascii="宋体" w:hAnsi="宋体" w:eastAsia="宋体" w:cs="宋体"/>
                <w:color w:val="000000"/>
                <w:lang w:eastAsia="zh-CN" w:bidi="ar"/>
              </w:rPr>
              <w:t>AF-1820-DF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0CCA">
            <w:pPr>
              <w:jc w:val="both"/>
              <w:rPr>
                <w:rFonts w:ascii="宋体" w:hAnsi="宋体" w:eastAsia="宋体" w:cs="宋体"/>
                <w:color w:val="000000"/>
              </w:rPr>
            </w:pPr>
          </w:p>
        </w:tc>
      </w:tr>
      <w:tr w14:paraId="262F964C">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03BF">
            <w:pPr>
              <w:jc w:val="center"/>
              <w:textAlignment w:val="center"/>
              <w:rPr>
                <w:rFonts w:ascii="宋体" w:hAnsi="宋体" w:eastAsia="宋体" w:cs="宋体"/>
                <w:color w:val="000000"/>
              </w:rPr>
            </w:pPr>
            <w:r>
              <w:rPr>
                <w:rFonts w:hint="eastAsia" w:ascii="宋体" w:hAnsi="宋体" w:eastAsia="宋体" w:cs="宋体"/>
                <w:color w:val="000000"/>
                <w:lang w:eastAsia="zh-CN" w:bidi="ar"/>
              </w:rPr>
              <w:t>7</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2F28">
            <w:pPr>
              <w:textAlignment w:val="center"/>
              <w:rPr>
                <w:rFonts w:ascii="宋体" w:hAnsi="宋体" w:eastAsia="宋体" w:cs="宋体"/>
                <w:color w:val="000000"/>
              </w:rPr>
            </w:pPr>
            <w:r>
              <w:rPr>
                <w:rFonts w:hint="eastAsia" w:ascii="宋体" w:hAnsi="宋体" w:eastAsia="宋体" w:cs="宋体"/>
                <w:color w:val="000000"/>
                <w:lang w:eastAsia="zh-CN" w:bidi="ar"/>
              </w:rPr>
              <w:t>数据交换区防火墙1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F060">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5A32">
            <w:pPr>
              <w:textAlignment w:val="center"/>
              <w:rPr>
                <w:rFonts w:ascii="宋体" w:hAnsi="宋体" w:eastAsia="宋体" w:cs="宋体"/>
                <w:color w:val="000000"/>
              </w:rPr>
            </w:pPr>
            <w:r>
              <w:rPr>
                <w:rFonts w:hint="eastAsia" w:ascii="宋体" w:hAnsi="宋体" w:eastAsia="宋体" w:cs="宋体"/>
                <w:color w:val="000000"/>
                <w:lang w:eastAsia="zh-CN" w:bidi="ar"/>
              </w:rPr>
              <w:t>AF-1320-GY</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9646">
            <w:pPr>
              <w:jc w:val="both"/>
              <w:rPr>
                <w:rFonts w:ascii="宋体" w:hAnsi="宋体" w:eastAsia="宋体" w:cs="宋体"/>
                <w:color w:val="000000"/>
              </w:rPr>
            </w:pPr>
          </w:p>
        </w:tc>
      </w:tr>
      <w:tr w14:paraId="68D68FD2">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DFED">
            <w:pPr>
              <w:jc w:val="center"/>
              <w:textAlignment w:val="center"/>
              <w:rPr>
                <w:rFonts w:ascii="宋体" w:hAnsi="宋体" w:eastAsia="宋体" w:cs="宋体"/>
                <w:color w:val="000000"/>
              </w:rPr>
            </w:pPr>
            <w:r>
              <w:rPr>
                <w:rFonts w:hint="eastAsia" w:ascii="宋体" w:hAnsi="宋体" w:eastAsia="宋体" w:cs="宋体"/>
                <w:color w:val="000000"/>
                <w:lang w:eastAsia="zh-CN" w:bidi="ar"/>
              </w:rPr>
              <w:t>8</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6BCC">
            <w:pPr>
              <w:textAlignment w:val="center"/>
              <w:rPr>
                <w:rFonts w:ascii="宋体" w:hAnsi="宋体" w:eastAsia="宋体" w:cs="宋体"/>
                <w:color w:val="000000"/>
              </w:rPr>
            </w:pPr>
            <w:r>
              <w:rPr>
                <w:rFonts w:hint="eastAsia" w:ascii="宋体" w:hAnsi="宋体" w:eastAsia="宋体" w:cs="宋体"/>
                <w:color w:val="000000"/>
                <w:lang w:eastAsia="zh-CN" w:bidi="ar"/>
              </w:rPr>
              <w:t>数据交换区防火墙2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CA30">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7DD">
            <w:pPr>
              <w:textAlignment w:val="center"/>
              <w:rPr>
                <w:rFonts w:ascii="宋体" w:hAnsi="宋体" w:eastAsia="宋体" w:cs="宋体"/>
                <w:color w:val="000000"/>
              </w:rPr>
            </w:pPr>
            <w:r>
              <w:rPr>
                <w:rFonts w:hint="eastAsia" w:ascii="宋体" w:hAnsi="宋体" w:eastAsia="宋体" w:cs="宋体"/>
                <w:color w:val="000000"/>
                <w:lang w:eastAsia="zh-CN" w:bidi="ar"/>
              </w:rPr>
              <w:t>NGAF-1300</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B967">
            <w:pPr>
              <w:jc w:val="both"/>
              <w:rPr>
                <w:rFonts w:ascii="宋体" w:hAnsi="宋体" w:eastAsia="宋体" w:cs="宋体"/>
                <w:color w:val="000000"/>
              </w:rPr>
            </w:pPr>
          </w:p>
        </w:tc>
      </w:tr>
      <w:tr w14:paraId="33269B2B">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2E8">
            <w:pPr>
              <w:jc w:val="center"/>
              <w:textAlignment w:val="center"/>
              <w:rPr>
                <w:rFonts w:ascii="宋体" w:hAnsi="宋体" w:eastAsia="宋体" w:cs="宋体"/>
                <w:color w:val="000000"/>
              </w:rPr>
            </w:pPr>
            <w:r>
              <w:rPr>
                <w:rFonts w:hint="eastAsia" w:ascii="宋体" w:hAnsi="宋体" w:eastAsia="宋体" w:cs="宋体"/>
                <w:color w:val="000000"/>
                <w:lang w:eastAsia="zh-CN" w:bidi="ar"/>
              </w:rPr>
              <w:t>9</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93F">
            <w:pPr>
              <w:textAlignment w:val="center"/>
              <w:rPr>
                <w:rFonts w:ascii="宋体" w:hAnsi="宋体" w:eastAsia="宋体" w:cs="宋体"/>
                <w:color w:val="000000"/>
              </w:rPr>
            </w:pPr>
            <w:r>
              <w:rPr>
                <w:rFonts w:hint="eastAsia" w:ascii="宋体" w:hAnsi="宋体" w:eastAsia="宋体" w:cs="宋体"/>
                <w:color w:val="000000"/>
                <w:lang w:eastAsia="zh-CN" w:bidi="ar"/>
              </w:rPr>
              <w:t>二级域防火墙1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F5D">
            <w:pPr>
              <w:textAlignment w:val="center"/>
              <w:rPr>
                <w:rFonts w:ascii="宋体" w:hAnsi="宋体" w:eastAsia="宋体" w:cs="宋体"/>
                <w:color w:val="000000"/>
              </w:rPr>
            </w:pPr>
            <w:r>
              <w:rPr>
                <w:rFonts w:hint="eastAsia" w:ascii="宋体" w:hAnsi="宋体" w:eastAsia="宋体" w:cs="宋体"/>
                <w:color w:val="000000"/>
                <w:lang w:eastAsia="zh-CN" w:bidi="ar"/>
              </w:rPr>
              <w:t>天融信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115">
            <w:pPr>
              <w:textAlignment w:val="center"/>
              <w:rPr>
                <w:rFonts w:ascii="宋体" w:hAnsi="宋体" w:eastAsia="宋体" w:cs="宋体"/>
                <w:color w:val="000000"/>
              </w:rPr>
            </w:pPr>
            <w:r>
              <w:rPr>
                <w:rFonts w:hint="eastAsia" w:ascii="宋体" w:hAnsi="宋体" w:eastAsia="宋体" w:cs="宋体"/>
                <w:color w:val="000000"/>
                <w:lang w:eastAsia="zh-CN" w:bidi="ar"/>
              </w:rPr>
              <w:t>NGFW4000-UF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DC63">
            <w:pPr>
              <w:jc w:val="both"/>
              <w:rPr>
                <w:rFonts w:ascii="宋体" w:hAnsi="宋体" w:eastAsia="宋体" w:cs="宋体"/>
                <w:color w:val="000000"/>
              </w:rPr>
            </w:pPr>
          </w:p>
        </w:tc>
      </w:tr>
      <w:tr w14:paraId="53F9777F">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C231">
            <w:pPr>
              <w:jc w:val="center"/>
              <w:textAlignment w:val="center"/>
              <w:rPr>
                <w:rFonts w:ascii="宋体" w:hAnsi="宋体" w:eastAsia="宋体" w:cs="宋体"/>
                <w:color w:val="000000"/>
              </w:rPr>
            </w:pPr>
            <w:r>
              <w:rPr>
                <w:rFonts w:hint="eastAsia" w:ascii="宋体" w:hAnsi="宋体" w:eastAsia="宋体" w:cs="宋体"/>
                <w:color w:val="000000"/>
                <w:lang w:eastAsia="zh-CN" w:bidi="ar"/>
              </w:rPr>
              <w:t>10</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E814">
            <w:pPr>
              <w:textAlignment w:val="center"/>
              <w:rPr>
                <w:rFonts w:ascii="宋体" w:hAnsi="宋体" w:eastAsia="宋体" w:cs="宋体"/>
                <w:color w:val="000000"/>
              </w:rPr>
            </w:pPr>
            <w:r>
              <w:rPr>
                <w:rFonts w:hint="eastAsia" w:ascii="宋体" w:hAnsi="宋体" w:eastAsia="宋体" w:cs="宋体"/>
                <w:color w:val="000000"/>
                <w:lang w:eastAsia="zh-CN" w:bidi="ar"/>
              </w:rPr>
              <w:t>二级域防火墙2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4B11">
            <w:pPr>
              <w:textAlignment w:val="center"/>
              <w:rPr>
                <w:rFonts w:ascii="宋体" w:hAnsi="宋体" w:eastAsia="宋体" w:cs="宋体"/>
                <w:color w:val="000000"/>
              </w:rPr>
            </w:pPr>
            <w:r>
              <w:rPr>
                <w:rFonts w:hint="eastAsia" w:ascii="宋体" w:hAnsi="宋体" w:eastAsia="宋体" w:cs="宋体"/>
                <w:color w:val="000000"/>
                <w:lang w:eastAsia="zh-CN" w:bidi="ar"/>
              </w:rPr>
              <w:t>天融信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C3A">
            <w:pPr>
              <w:textAlignment w:val="center"/>
              <w:rPr>
                <w:rFonts w:ascii="宋体" w:hAnsi="宋体" w:eastAsia="宋体" w:cs="宋体"/>
                <w:color w:val="000000"/>
              </w:rPr>
            </w:pPr>
            <w:r>
              <w:rPr>
                <w:rFonts w:hint="eastAsia" w:ascii="宋体" w:hAnsi="宋体" w:eastAsia="宋体" w:cs="宋体"/>
                <w:color w:val="000000"/>
                <w:lang w:eastAsia="zh-CN" w:bidi="ar"/>
              </w:rPr>
              <w:t>NGFW4000-UF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950D">
            <w:pPr>
              <w:jc w:val="both"/>
              <w:rPr>
                <w:rFonts w:ascii="宋体" w:hAnsi="宋体" w:eastAsia="宋体" w:cs="宋体"/>
                <w:color w:val="000000"/>
              </w:rPr>
            </w:pPr>
          </w:p>
        </w:tc>
      </w:tr>
      <w:tr w14:paraId="661A762E">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C185">
            <w:pPr>
              <w:jc w:val="center"/>
              <w:textAlignment w:val="center"/>
              <w:rPr>
                <w:rFonts w:ascii="宋体" w:hAnsi="宋体" w:eastAsia="宋体" w:cs="宋体"/>
                <w:color w:val="000000"/>
              </w:rPr>
            </w:pPr>
            <w:r>
              <w:rPr>
                <w:rFonts w:hint="eastAsia" w:ascii="宋体" w:hAnsi="宋体" w:eastAsia="宋体" w:cs="宋体"/>
                <w:color w:val="000000"/>
                <w:lang w:eastAsia="zh-CN" w:bidi="ar"/>
              </w:rPr>
              <w:t>11</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CF0A">
            <w:pPr>
              <w:textAlignment w:val="center"/>
              <w:rPr>
                <w:rFonts w:ascii="宋体" w:hAnsi="宋体" w:eastAsia="宋体" w:cs="宋体"/>
                <w:color w:val="000000"/>
              </w:rPr>
            </w:pPr>
            <w:r>
              <w:rPr>
                <w:rFonts w:hint="eastAsia" w:ascii="宋体" w:hAnsi="宋体" w:eastAsia="宋体" w:cs="宋体"/>
                <w:color w:val="000000"/>
                <w:lang w:eastAsia="zh-CN" w:bidi="ar"/>
              </w:rPr>
              <w:t>三级域防火墙1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FE19">
            <w:pPr>
              <w:textAlignment w:val="center"/>
              <w:rPr>
                <w:rFonts w:ascii="宋体" w:hAnsi="宋体" w:eastAsia="宋体" w:cs="宋体"/>
                <w:color w:val="000000"/>
              </w:rPr>
            </w:pPr>
            <w:r>
              <w:rPr>
                <w:rFonts w:hint="eastAsia" w:ascii="宋体" w:hAnsi="宋体" w:eastAsia="宋体" w:cs="宋体"/>
                <w:color w:val="000000"/>
                <w:lang w:eastAsia="zh-CN" w:bidi="ar"/>
              </w:rPr>
              <w:t>天融信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3A86">
            <w:pPr>
              <w:textAlignment w:val="center"/>
              <w:rPr>
                <w:rFonts w:ascii="宋体" w:hAnsi="宋体" w:eastAsia="宋体" w:cs="宋体"/>
                <w:color w:val="000000"/>
              </w:rPr>
            </w:pPr>
            <w:r>
              <w:rPr>
                <w:rFonts w:hint="eastAsia" w:ascii="宋体" w:hAnsi="宋体" w:eastAsia="宋体" w:cs="宋体"/>
                <w:color w:val="000000"/>
                <w:lang w:eastAsia="zh-CN" w:bidi="ar"/>
              </w:rPr>
              <w:t>NGFW4000-UF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3C83">
            <w:pPr>
              <w:jc w:val="both"/>
              <w:rPr>
                <w:rFonts w:ascii="宋体" w:hAnsi="宋体" w:eastAsia="宋体" w:cs="宋体"/>
                <w:color w:val="000000"/>
              </w:rPr>
            </w:pPr>
          </w:p>
        </w:tc>
      </w:tr>
      <w:tr w14:paraId="27273C33">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2069">
            <w:pPr>
              <w:jc w:val="center"/>
              <w:textAlignment w:val="center"/>
              <w:rPr>
                <w:rFonts w:ascii="宋体" w:hAnsi="宋体" w:eastAsia="宋体" w:cs="宋体"/>
                <w:color w:val="000000"/>
              </w:rPr>
            </w:pPr>
            <w:r>
              <w:rPr>
                <w:rFonts w:hint="eastAsia" w:ascii="宋体" w:hAnsi="宋体" w:eastAsia="宋体" w:cs="宋体"/>
                <w:color w:val="000000"/>
                <w:lang w:eastAsia="zh-CN" w:bidi="ar"/>
              </w:rPr>
              <w:t>12</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7BCD">
            <w:pPr>
              <w:textAlignment w:val="center"/>
              <w:rPr>
                <w:rFonts w:ascii="宋体" w:hAnsi="宋体" w:eastAsia="宋体" w:cs="宋体"/>
                <w:color w:val="000000"/>
              </w:rPr>
            </w:pPr>
            <w:r>
              <w:rPr>
                <w:rFonts w:hint="eastAsia" w:ascii="宋体" w:hAnsi="宋体" w:eastAsia="宋体" w:cs="宋体"/>
                <w:color w:val="000000"/>
                <w:lang w:eastAsia="zh-CN" w:bidi="ar"/>
              </w:rPr>
              <w:t>三级域防火墙2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D0DD">
            <w:pPr>
              <w:textAlignment w:val="center"/>
              <w:rPr>
                <w:rFonts w:ascii="宋体" w:hAnsi="宋体" w:eastAsia="宋体" w:cs="宋体"/>
                <w:color w:val="000000"/>
              </w:rPr>
            </w:pPr>
            <w:r>
              <w:rPr>
                <w:rFonts w:hint="eastAsia" w:ascii="宋体" w:hAnsi="宋体" w:eastAsia="宋体" w:cs="宋体"/>
                <w:color w:val="000000"/>
                <w:lang w:eastAsia="zh-CN" w:bidi="ar"/>
              </w:rPr>
              <w:t>天融信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2ED">
            <w:pPr>
              <w:textAlignment w:val="center"/>
              <w:rPr>
                <w:rFonts w:ascii="宋体" w:hAnsi="宋体" w:eastAsia="宋体" w:cs="宋体"/>
                <w:color w:val="000000"/>
              </w:rPr>
            </w:pPr>
            <w:r>
              <w:rPr>
                <w:rFonts w:hint="eastAsia" w:ascii="宋体" w:hAnsi="宋体" w:eastAsia="宋体" w:cs="宋体"/>
                <w:color w:val="000000"/>
                <w:lang w:eastAsia="zh-CN" w:bidi="ar"/>
              </w:rPr>
              <w:t>NGFW4000-UF</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0B47">
            <w:pPr>
              <w:jc w:val="both"/>
              <w:rPr>
                <w:rFonts w:ascii="宋体" w:hAnsi="宋体" w:eastAsia="宋体" w:cs="宋体"/>
                <w:color w:val="000000"/>
              </w:rPr>
            </w:pPr>
          </w:p>
        </w:tc>
      </w:tr>
      <w:tr w14:paraId="7B2173B8">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6F01">
            <w:pPr>
              <w:jc w:val="center"/>
              <w:textAlignment w:val="center"/>
              <w:rPr>
                <w:rFonts w:ascii="宋体" w:hAnsi="宋体" w:eastAsia="宋体" w:cs="宋体"/>
                <w:color w:val="000000"/>
              </w:rPr>
            </w:pPr>
            <w:r>
              <w:rPr>
                <w:rFonts w:hint="eastAsia" w:ascii="宋体" w:hAnsi="宋体" w:eastAsia="宋体" w:cs="宋体"/>
                <w:color w:val="000000"/>
                <w:lang w:eastAsia="zh-CN" w:bidi="ar"/>
              </w:rPr>
              <w:t>13</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D3C7">
            <w:pPr>
              <w:textAlignment w:val="center"/>
              <w:rPr>
                <w:rFonts w:ascii="宋体" w:hAnsi="宋体" w:eastAsia="宋体" w:cs="宋体"/>
                <w:color w:val="000000"/>
              </w:rPr>
            </w:pPr>
            <w:r>
              <w:rPr>
                <w:rFonts w:hint="eastAsia" w:ascii="宋体" w:hAnsi="宋体" w:eastAsia="宋体" w:cs="宋体"/>
                <w:color w:val="000000"/>
                <w:lang w:eastAsia="zh-CN" w:bidi="ar"/>
              </w:rPr>
              <w:t>WEB应用防火墙1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352B">
            <w:pPr>
              <w:textAlignment w:val="center"/>
              <w:rPr>
                <w:rFonts w:ascii="宋体" w:hAnsi="宋体" w:eastAsia="宋体" w:cs="宋体"/>
                <w:color w:val="000000"/>
              </w:rPr>
            </w:pPr>
            <w:r>
              <w:rPr>
                <w:rFonts w:hint="eastAsia" w:ascii="宋体" w:hAnsi="宋体" w:eastAsia="宋体" w:cs="宋体"/>
                <w:color w:val="000000"/>
                <w:lang w:eastAsia="zh-CN" w:bidi="ar"/>
              </w:rPr>
              <w:t>绿盟</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D14C">
            <w:pPr>
              <w:textAlignment w:val="center"/>
              <w:rPr>
                <w:rFonts w:ascii="宋体" w:hAnsi="宋体" w:eastAsia="宋体" w:cs="宋体"/>
                <w:color w:val="000000"/>
              </w:rPr>
            </w:pPr>
            <w:r>
              <w:rPr>
                <w:rFonts w:hint="eastAsia" w:ascii="宋体" w:hAnsi="宋体" w:eastAsia="宋体" w:cs="宋体"/>
                <w:color w:val="000000"/>
                <w:lang w:eastAsia="zh-CN" w:bidi="ar"/>
              </w:rPr>
              <w:t>WAFNX3-P1000B</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48E">
            <w:pPr>
              <w:jc w:val="both"/>
              <w:rPr>
                <w:rFonts w:ascii="宋体" w:hAnsi="宋体" w:eastAsia="宋体" w:cs="宋体"/>
                <w:color w:val="000000"/>
              </w:rPr>
            </w:pPr>
          </w:p>
        </w:tc>
      </w:tr>
      <w:tr w14:paraId="5FE643A7">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DE8C">
            <w:pPr>
              <w:jc w:val="center"/>
              <w:textAlignment w:val="center"/>
              <w:rPr>
                <w:rFonts w:ascii="宋体" w:hAnsi="宋体" w:eastAsia="宋体" w:cs="宋体"/>
                <w:color w:val="000000"/>
              </w:rPr>
            </w:pPr>
            <w:r>
              <w:rPr>
                <w:rFonts w:hint="eastAsia" w:ascii="宋体" w:hAnsi="宋体" w:eastAsia="宋体" w:cs="宋体"/>
                <w:color w:val="000000"/>
                <w:lang w:eastAsia="zh-CN" w:bidi="ar"/>
              </w:rPr>
              <w:t>14</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44">
            <w:pPr>
              <w:textAlignment w:val="center"/>
              <w:rPr>
                <w:rFonts w:ascii="宋体" w:hAnsi="宋体" w:eastAsia="宋体" w:cs="宋体"/>
                <w:color w:val="000000"/>
              </w:rPr>
            </w:pPr>
            <w:r>
              <w:rPr>
                <w:rFonts w:hint="eastAsia" w:ascii="宋体" w:hAnsi="宋体" w:eastAsia="宋体" w:cs="宋体"/>
                <w:color w:val="000000"/>
                <w:lang w:eastAsia="zh-CN" w:bidi="ar"/>
              </w:rPr>
              <w:t>WEB应用防火墙2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B935">
            <w:pPr>
              <w:textAlignment w:val="center"/>
              <w:rPr>
                <w:rFonts w:ascii="宋体" w:hAnsi="宋体" w:eastAsia="宋体" w:cs="宋体"/>
                <w:color w:val="000000"/>
              </w:rPr>
            </w:pPr>
            <w:r>
              <w:rPr>
                <w:rFonts w:hint="eastAsia" w:ascii="宋体" w:hAnsi="宋体" w:eastAsia="宋体" w:cs="宋体"/>
                <w:color w:val="000000"/>
                <w:lang w:eastAsia="zh-CN" w:bidi="ar"/>
              </w:rPr>
              <w:t>绿盟</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7A9A">
            <w:pPr>
              <w:textAlignment w:val="center"/>
              <w:rPr>
                <w:rFonts w:ascii="宋体" w:hAnsi="宋体" w:eastAsia="宋体" w:cs="宋体"/>
                <w:color w:val="000000"/>
              </w:rPr>
            </w:pPr>
            <w:r>
              <w:rPr>
                <w:rFonts w:hint="eastAsia" w:ascii="宋体" w:hAnsi="宋体" w:eastAsia="宋体" w:cs="宋体"/>
                <w:color w:val="000000"/>
                <w:lang w:eastAsia="zh-CN" w:bidi="ar"/>
              </w:rPr>
              <w:t>WAFNX3-P1000B</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B55B">
            <w:pPr>
              <w:jc w:val="both"/>
              <w:rPr>
                <w:rFonts w:ascii="宋体" w:hAnsi="宋体" w:eastAsia="宋体" w:cs="宋体"/>
                <w:color w:val="000000"/>
              </w:rPr>
            </w:pPr>
          </w:p>
        </w:tc>
      </w:tr>
      <w:tr w14:paraId="293684FE">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8690">
            <w:pPr>
              <w:jc w:val="center"/>
              <w:textAlignment w:val="center"/>
              <w:rPr>
                <w:rFonts w:ascii="宋体" w:hAnsi="宋体" w:eastAsia="宋体" w:cs="宋体"/>
                <w:color w:val="000000"/>
              </w:rPr>
            </w:pPr>
            <w:r>
              <w:rPr>
                <w:rFonts w:hint="eastAsia" w:ascii="宋体" w:hAnsi="宋体" w:eastAsia="宋体" w:cs="宋体"/>
                <w:color w:val="000000"/>
                <w:lang w:eastAsia="zh-CN" w:bidi="ar"/>
              </w:rPr>
              <w:t>15</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6DF5">
            <w:pPr>
              <w:textAlignment w:val="center"/>
              <w:rPr>
                <w:rFonts w:ascii="宋体" w:hAnsi="宋体" w:eastAsia="宋体" w:cs="宋体"/>
                <w:color w:val="000000"/>
              </w:rPr>
            </w:pPr>
            <w:r>
              <w:rPr>
                <w:rFonts w:hint="eastAsia" w:ascii="宋体" w:hAnsi="宋体" w:eastAsia="宋体" w:cs="宋体"/>
                <w:color w:val="000000"/>
                <w:lang w:eastAsia="zh-CN" w:bidi="ar"/>
              </w:rPr>
              <w:t>漏洞扫描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1F25">
            <w:pPr>
              <w:textAlignment w:val="center"/>
              <w:rPr>
                <w:rFonts w:ascii="宋体" w:hAnsi="宋体" w:eastAsia="宋体" w:cs="宋体"/>
                <w:color w:val="000000"/>
              </w:rPr>
            </w:pPr>
            <w:r>
              <w:rPr>
                <w:rFonts w:hint="eastAsia" w:ascii="宋体" w:hAnsi="宋体" w:eastAsia="宋体" w:cs="宋体"/>
                <w:color w:val="000000"/>
                <w:lang w:eastAsia="zh-CN" w:bidi="ar"/>
              </w:rPr>
              <w:t>绿盟</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D60C">
            <w:pPr>
              <w:textAlignment w:val="center"/>
              <w:rPr>
                <w:rFonts w:ascii="宋体" w:hAnsi="宋体" w:eastAsia="宋体" w:cs="宋体"/>
                <w:color w:val="000000"/>
              </w:rPr>
            </w:pPr>
            <w:r>
              <w:rPr>
                <w:rFonts w:hint="eastAsia" w:ascii="宋体" w:hAnsi="宋体" w:eastAsia="宋体" w:cs="宋体"/>
                <w:color w:val="000000"/>
                <w:lang w:eastAsia="zh-CN" w:bidi="ar"/>
              </w:rPr>
              <w:t>RSASNX3-S</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0F7">
            <w:pPr>
              <w:jc w:val="both"/>
              <w:rPr>
                <w:rFonts w:ascii="宋体" w:hAnsi="宋体" w:eastAsia="宋体" w:cs="宋体"/>
                <w:color w:val="000000"/>
              </w:rPr>
            </w:pPr>
          </w:p>
        </w:tc>
      </w:tr>
      <w:tr w14:paraId="6D6F046C">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B48C">
            <w:pPr>
              <w:jc w:val="center"/>
              <w:textAlignment w:val="center"/>
              <w:rPr>
                <w:rFonts w:ascii="宋体" w:hAnsi="宋体" w:eastAsia="宋体" w:cs="宋体"/>
                <w:color w:val="000000"/>
              </w:rPr>
            </w:pPr>
            <w:r>
              <w:rPr>
                <w:rFonts w:hint="eastAsia" w:ascii="宋体" w:hAnsi="宋体" w:eastAsia="宋体" w:cs="宋体"/>
                <w:color w:val="000000"/>
                <w:lang w:eastAsia="zh-CN" w:bidi="ar"/>
              </w:rPr>
              <w:t>16</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5BC7">
            <w:pPr>
              <w:textAlignment w:val="center"/>
              <w:rPr>
                <w:rFonts w:ascii="宋体" w:hAnsi="宋体" w:eastAsia="宋体" w:cs="宋体"/>
                <w:color w:val="000000"/>
              </w:rPr>
            </w:pPr>
            <w:r>
              <w:rPr>
                <w:rFonts w:hint="eastAsia" w:ascii="宋体" w:hAnsi="宋体" w:eastAsia="宋体" w:cs="宋体"/>
                <w:color w:val="000000"/>
                <w:lang w:eastAsia="zh-CN" w:bidi="ar"/>
              </w:rPr>
              <w:t>内前置防火墙1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DCA8">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311E">
            <w:pPr>
              <w:textAlignment w:val="center"/>
              <w:rPr>
                <w:rFonts w:ascii="宋体" w:hAnsi="宋体" w:eastAsia="宋体" w:cs="宋体"/>
                <w:color w:val="000000"/>
              </w:rPr>
            </w:pPr>
            <w:r>
              <w:rPr>
                <w:rFonts w:hint="eastAsia" w:ascii="宋体" w:hAnsi="宋体" w:eastAsia="宋体" w:cs="宋体"/>
                <w:color w:val="000000"/>
                <w:lang w:eastAsia="zh-CN" w:bidi="ar"/>
              </w:rPr>
              <w:t>AF-1000-G640-SW</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DBB8">
            <w:pPr>
              <w:jc w:val="both"/>
              <w:rPr>
                <w:rFonts w:ascii="宋体" w:hAnsi="宋体" w:eastAsia="宋体" w:cs="宋体"/>
                <w:color w:val="000000"/>
              </w:rPr>
            </w:pPr>
          </w:p>
        </w:tc>
      </w:tr>
      <w:tr w14:paraId="67CB37A8">
        <w:tblPrEx>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5BDC">
            <w:pPr>
              <w:jc w:val="center"/>
              <w:textAlignment w:val="center"/>
              <w:rPr>
                <w:rFonts w:ascii="宋体" w:hAnsi="宋体" w:eastAsia="宋体" w:cs="宋体"/>
                <w:color w:val="000000"/>
              </w:rPr>
            </w:pPr>
            <w:r>
              <w:rPr>
                <w:rFonts w:hint="eastAsia" w:ascii="宋体" w:hAnsi="宋体" w:eastAsia="宋体" w:cs="宋体"/>
                <w:color w:val="000000"/>
                <w:lang w:eastAsia="zh-CN" w:bidi="ar"/>
              </w:rPr>
              <w:t>17</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1744">
            <w:pPr>
              <w:textAlignment w:val="center"/>
              <w:rPr>
                <w:rFonts w:ascii="宋体" w:hAnsi="宋体" w:eastAsia="宋体" w:cs="宋体"/>
                <w:color w:val="000000"/>
              </w:rPr>
            </w:pPr>
            <w:r>
              <w:rPr>
                <w:rFonts w:hint="eastAsia" w:ascii="宋体" w:hAnsi="宋体" w:eastAsia="宋体" w:cs="宋体"/>
                <w:color w:val="000000"/>
                <w:lang w:eastAsia="zh-CN" w:bidi="ar"/>
              </w:rPr>
              <w:t>内前置防火墙2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5B0E">
            <w:pPr>
              <w:textAlignment w:val="center"/>
              <w:rPr>
                <w:rFonts w:ascii="宋体" w:hAnsi="宋体" w:eastAsia="宋体" w:cs="宋体"/>
                <w:color w:val="000000"/>
              </w:rPr>
            </w:pPr>
            <w:r>
              <w:rPr>
                <w:rFonts w:hint="eastAsia" w:ascii="宋体" w:hAnsi="宋体" w:eastAsia="宋体" w:cs="宋体"/>
                <w:color w:val="000000"/>
                <w:lang w:eastAsia="zh-CN" w:bidi="ar"/>
              </w:rPr>
              <w:t>深信服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49E">
            <w:pPr>
              <w:textAlignment w:val="center"/>
              <w:rPr>
                <w:rFonts w:ascii="宋体" w:hAnsi="宋体" w:eastAsia="宋体" w:cs="宋体"/>
                <w:color w:val="000000"/>
              </w:rPr>
            </w:pPr>
            <w:r>
              <w:rPr>
                <w:rFonts w:hint="eastAsia" w:ascii="宋体" w:hAnsi="宋体" w:eastAsia="宋体" w:cs="宋体"/>
                <w:color w:val="000000"/>
                <w:lang w:eastAsia="zh-CN" w:bidi="ar"/>
              </w:rPr>
              <w:t>AF-1000-G640-SW</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58E6">
            <w:pPr>
              <w:jc w:val="both"/>
              <w:rPr>
                <w:rFonts w:ascii="宋体" w:hAnsi="宋体" w:eastAsia="宋体" w:cs="宋体"/>
                <w:color w:val="000000"/>
              </w:rPr>
            </w:pPr>
          </w:p>
        </w:tc>
      </w:tr>
    </w:tbl>
    <w:p w14:paraId="6C16C2AB">
      <w:pPr>
        <w:rPr>
          <w:rFonts w:ascii="宋体" w:hAnsi="宋体" w:eastAsia="宋体" w:cs="Arial"/>
          <w:lang w:eastAsia="zh-CN"/>
        </w:rPr>
      </w:pPr>
    </w:p>
    <w:p w14:paraId="3E1BD00B">
      <w:pPr>
        <w:pStyle w:val="4"/>
        <w:numPr>
          <w:ilvl w:val="0"/>
          <w:numId w:val="1"/>
        </w:numPr>
      </w:pPr>
      <w:r>
        <w:t>投标人的资格要求</w:t>
      </w:r>
    </w:p>
    <w:p w14:paraId="7F9343A4">
      <w:pPr>
        <w:pStyle w:val="13"/>
        <w:widowControl w:val="0"/>
        <w:spacing w:after="0" w:line="360" w:lineRule="auto"/>
        <w:ind w:firstLineChars="200"/>
        <w:jc w:val="both"/>
        <w:rPr>
          <w:rFonts w:ascii="宋体" w:hAnsi="宋体" w:eastAsia="宋体"/>
          <w:color w:val="000000"/>
          <w:kern w:val="2"/>
          <w:szCs w:val="24"/>
          <w:u w:color="000000"/>
          <w:lang w:eastAsia="zh-CN"/>
        </w:rPr>
      </w:pPr>
      <w:r>
        <w:rPr>
          <w:rFonts w:ascii="宋体" w:hAnsi="宋体" w:eastAsia="宋体"/>
          <w:color w:val="000000"/>
          <w:kern w:val="2"/>
          <w:szCs w:val="24"/>
          <w:u w:color="000000"/>
          <w:lang w:eastAsia="zh-CN"/>
        </w:rPr>
        <w:t>（1）投标人自 202</w:t>
      </w:r>
      <w:r>
        <w:rPr>
          <w:rFonts w:hint="eastAsia" w:ascii="宋体" w:hAnsi="宋体" w:eastAsia="宋体"/>
          <w:color w:val="000000"/>
          <w:kern w:val="2"/>
          <w:szCs w:val="24"/>
          <w:u w:color="000000"/>
          <w:lang w:eastAsia="zh-CN"/>
        </w:rPr>
        <w:t>2</w:t>
      </w:r>
      <w:r>
        <w:rPr>
          <w:rFonts w:ascii="宋体" w:hAnsi="宋体" w:eastAsia="宋体"/>
          <w:color w:val="000000"/>
          <w:kern w:val="2"/>
          <w:szCs w:val="24"/>
          <w:u w:color="000000"/>
          <w:lang w:eastAsia="zh-CN"/>
        </w:rPr>
        <w:t xml:space="preserve"> 年 1 月 1 日起至今具有</w:t>
      </w:r>
      <w:r>
        <w:rPr>
          <w:rFonts w:hint="eastAsia" w:ascii="宋体" w:hAnsi="宋体" w:eastAsia="宋体"/>
          <w:color w:val="000000"/>
          <w:kern w:val="2"/>
          <w:szCs w:val="24"/>
          <w:u w:color="000000"/>
          <w:lang w:eastAsia="zh-CN"/>
        </w:rPr>
        <w:t>至少</w:t>
      </w:r>
      <w:r>
        <w:rPr>
          <w:rFonts w:hint="eastAsia" w:ascii="宋体" w:hAnsi="宋体" w:eastAsia="宋体"/>
          <w:color w:val="000000"/>
          <w:kern w:val="2"/>
          <w:szCs w:val="24"/>
          <w:highlight w:val="yellow"/>
          <w:u w:color="000000"/>
          <w:lang w:eastAsia="zh-CN"/>
        </w:rPr>
        <w:t>1</w:t>
      </w:r>
      <w:r>
        <w:rPr>
          <w:rFonts w:hint="eastAsia" w:ascii="宋体" w:hAnsi="宋体" w:eastAsia="宋体"/>
          <w:color w:val="000000"/>
          <w:kern w:val="2"/>
          <w:szCs w:val="24"/>
          <w:u w:color="000000"/>
          <w:lang w:eastAsia="zh-CN"/>
        </w:rPr>
        <w:t>个</w:t>
      </w:r>
      <w:bookmarkStart w:id="8" w:name="_GoBack"/>
      <w:bookmarkEnd w:id="8"/>
      <w:r>
        <w:rPr>
          <w:rFonts w:ascii="宋体" w:hAnsi="宋体" w:eastAsia="宋体"/>
          <w:color w:val="000000"/>
          <w:kern w:val="2"/>
          <w:szCs w:val="24"/>
          <w:u w:color="000000"/>
          <w:lang w:eastAsia="zh-CN"/>
        </w:rPr>
        <w:t>类似维保项目</w:t>
      </w:r>
      <w:r>
        <w:rPr>
          <w:rFonts w:hint="eastAsia" w:ascii="宋体" w:hAnsi="宋体" w:eastAsia="宋体"/>
          <w:color w:val="000000"/>
          <w:kern w:val="2"/>
          <w:szCs w:val="24"/>
          <w:u w:color="000000"/>
          <w:lang w:eastAsia="zh-CN"/>
        </w:rPr>
        <w:t>案例。</w:t>
      </w:r>
    </w:p>
    <w:p w14:paraId="4F96F831">
      <w:pPr>
        <w:pStyle w:val="13"/>
        <w:widowControl w:val="0"/>
        <w:spacing w:after="0" w:line="360" w:lineRule="auto"/>
        <w:ind w:firstLineChars="200"/>
        <w:jc w:val="both"/>
        <w:rPr>
          <w:rFonts w:ascii="宋体" w:hAnsi="宋体" w:eastAsia="宋体"/>
          <w:color w:val="000000"/>
          <w:kern w:val="2"/>
          <w:szCs w:val="24"/>
          <w:u w:color="000000"/>
          <w:lang w:eastAsia="zh-CN"/>
        </w:rPr>
      </w:pPr>
      <w:r>
        <w:rPr>
          <w:rFonts w:ascii="宋体" w:hAnsi="宋体" w:eastAsia="宋体"/>
          <w:color w:val="000000"/>
          <w:kern w:val="2"/>
          <w:szCs w:val="24"/>
          <w:u w:color="000000"/>
          <w:lang w:eastAsia="zh-CN"/>
        </w:rPr>
        <w:t>（2）本项目不接受联合体参加，且不允许分包和转包</w:t>
      </w:r>
      <w:r>
        <w:rPr>
          <w:rFonts w:hint="eastAsia" w:ascii="宋体" w:hAnsi="宋体" w:eastAsia="宋体"/>
          <w:color w:val="000000"/>
          <w:kern w:val="2"/>
          <w:szCs w:val="24"/>
          <w:u w:color="000000"/>
          <w:lang w:eastAsia="zh-CN"/>
        </w:rPr>
        <w:t>。</w:t>
      </w:r>
    </w:p>
    <w:p w14:paraId="6DBC552D">
      <w:pPr>
        <w:widowControl w:val="0"/>
        <w:snapToGrid w:val="0"/>
        <w:spacing w:line="360" w:lineRule="auto"/>
        <w:ind w:firstLine="480" w:firstLineChars="200"/>
        <w:jc w:val="both"/>
        <w:rPr>
          <w:rFonts w:ascii="宋体" w:hAnsi="宋体" w:eastAsia="宋体" w:cs="宋体"/>
          <w:color w:val="000000"/>
          <w:kern w:val="2"/>
          <w:u w:color="000000"/>
          <w:lang w:eastAsia="zh-CN"/>
        </w:rPr>
      </w:pPr>
      <w:r>
        <w:rPr>
          <w:rFonts w:ascii="宋体" w:hAnsi="宋体" w:eastAsia="宋体" w:cs="宋体"/>
          <w:color w:val="000000"/>
          <w:kern w:val="2"/>
          <w:u w:color="000000"/>
          <w:lang w:eastAsia="zh-CN"/>
        </w:rPr>
        <w:t>（3）</w:t>
      </w:r>
      <w:r>
        <w:rPr>
          <w:rFonts w:hint="eastAsia" w:ascii="宋体" w:hAnsi="宋体" w:eastAsia="宋体" w:cs="宋体"/>
          <w:color w:val="000000"/>
          <w:kern w:val="2"/>
          <w:u w:color="000000"/>
          <w:lang w:eastAsia="zh-CN"/>
        </w:rPr>
        <w:t>投标人必须具备维保服务能力，并提供ITSS二级资质。</w:t>
      </w:r>
    </w:p>
    <w:p w14:paraId="6D1C9655">
      <w:pPr>
        <w:widowControl w:val="0"/>
        <w:snapToGrid w:val="0"/>
        <w:spacing w:line="360" w:lineRule="auto"/>
        <w:ind w:firstLine="480" w:firstLineChars="200"/>
        <w:jc w:val="both"/>
        <w:rPr>
          <w:rFonts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w:t>
      </w:r>
      <w:r>
        <w:rPr>
          <w:rFonts w:ascii="宋体" w:hAnsi="宋体" w:eastAsia="宋体" w:cs="宋体"/>
          <w:color w:val="000000"/>
          <w:kern w:val="2"/>
          <w:u w:color="000000"/>
          <w:lang w:eastAsia="zh-CN"/>
        </w:rPr>
        <w:t>4</w:t>
      </w:r>
      <w:r>
        <w:rPr>
          <w:rFonts w:hint="eastAsia" w:ascii="宋体" w:hAnsi="宋体" w:eastAsia="宋体" w:cs="宋体"/>
          <w:color w:val="000000"/>
          <w:kern w:val="2"/>
          <w:u w:color="000000"/>
          <w:lang w:eastAsia="zh-CN"/>
        </w:rPr>
        <w:t>）投标人在投标时需要提供本次维保产品原厂商开具的原厂的授权文件及服务承诺函，并加盖原厂公章。</w:t>
      </w:r>
    </w:p>
    <w:p w14:paraId="5FEDEB3B">
      <w:pPr>
        <w:pStyle w:val="7"/>
        <w:adjustRightInd w:val="0"/>
        <w:snapToGrid w:val="0"/>
        <w:spacing w:line="360" w:lineRule="auto"/>
        <w:rPr>
          <w:rFonts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elvetica Neue">
    <w:altName w:val="Times New Roman"/>
    <w:panose1 w:val="02000503000000020004"/>
    <w:charset w:val="00"/>
    <w:family w:val="auto"/>
    <w:pitch w:val="default"/>
    <w:sig w:usb0="00000000" w:usb1="00000000" w:usb2="00000010" w:usb3="00000000" w:csb0="00000001"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C3029"/>
    <w:multiLevelType w:val="multilevel"/>
    <w:tmpl w:val="46DC302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6F42E1"/>
    <w:rsid w:val="000D5248"/>
    <w:rsid w:val="00125355"/>
    <w:rsid w:val="003747B1"/>
    <w:rsid w:val="0046025F"/>
    <w:rsid w:val="00940F73"/>
    <w:rsid w:val="00963020"/>
    <w:rsid w:val="00E90736"/>
    <w:rsid w:val="00FA6E6F"/>
    <w:rsid w:val="00FD2EA9"/>
    <w:rsid w:val="396F42E1"/>
    <w:rsid w:val="3AC3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2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3">
    <w:name w:val="heading 1"/>
    <w:basedOn w:val="1"/>
    <w:next w:val="1"/>
    <w:qFormat/>
    <w:uiPriority w:val="0"/>
    <w:pPr>
      <w:widowControl w:val="0"/>
      <w:spacing w:after="240" w:line="360" w:lineRule="auto"/>
      <w:jc w:val="center"/>
      <w:outlineLvl w:val="0"/>
    </w:pPr>
    <w:rPr>
      <w:rFonts w:ascii="黑体" w:hAnsi="黑体" w:eastAsia="黑体" w:cs="黑体"/>
      <w:color w:val="000000"/>
      <w:kern w:val="2"/>
      <w:sz w:val="36"/>
      <w:szCs w:val="36"/>
      <w:u w:color="000000"/>
      <w:lang w:eastAsia="zh-CN"/>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rPr>
  </w:style>
  <w:style w:type="paragraph" w:styleId="6">
    <w:name w:val="annotation text"/>
    <w:basedOn w:val="1"/>
    <w:qFormat/>
    <w:uiPriority w:val="99"/>
  </w:style>
  <w:style w:type="paragraph" w:styleId="7">
    <w:name w:val="Plain Text"/>
    <w:basedOn w:val="1"/>
    <w:link w:val="16"/>
    <w:qFormat/>
    <w:uiPriority w:val="0"/>
    <w:pPr>
      <w:widowControl w:val="0"/>
      <w:jc w:val="both"/>
    </w:pPr>
    <w:rPr>
      <w:rFonts w:ascii="宋体" w:hAnsi="宋体" w:eastAsia="宋体" w:cs="宋体"/>
      <w:color w:val="000000"/>
      <w:kern w:val="2"/>
      <w:sz w:val="21"/>
      <w:szCs w:val="21"/>
      <w:u w:color="000000"/>
      <w:lang w:eastAsia="zh-CN"/>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29"/>
    <w:pPr>
      <w:widowControl w:val="0"/>
      <w:jc w:val="both"/>
    </w:pPr>
    <w:rPr>
      <w:rFonts w:ascii="宋体" w:hAnsi="宋体" w:eastAsia="宋体"/>
      <w:szCs w:val="20"/>
      <w:lang w:eastAsia="zh-CN"/>
    </w:rPr>
  </w:style>
  <w:style w:type="paragraph" w:styleId="10">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paragraph" w:customStyle="1" w:styleId="13">
    <w:name w:val="正文 + 首行缩进:  2 字符 段后: 7.8 磅"/>
    <w:basedOn w:val="1"/>
    <w:qFormat/>
    <w:uiPriority w:val="0"/>
    <w:pPr>
      <w:spacing w:after="156"/>
      <w:ind w:firstLine="480"/>
    </w:pPr>
    <w:rPr>
      <w:rFonts w:cs="宋体"/>
      <w:szCs w:val="20"/>
    </w:rPr>
  </w:style>
  <w:style w:type="paragraph" w:customStyle="1" w:styleId="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无格式正文"/>
    <w:basedOn w:val="1"/>
    <w:autoRedefine/>
    <w:qFormat/>
    <w:uiPriority w:val="0"/>
  </w:style>
  <w:style w:type="character" w:customStyle="1" w:styleId="16">
    <w:name w:val="纯文本 字符"/>
    <w:basedOn w:val="12"/>
    <w:link w:val="7"/>
    <w:qFormat/>
    <w:uiPriority w:val="0"/>
    <w:rPr>
      <w:rFonts w:ascii="宋体" w:hAnsi="宋体" w:cs="宋体"/>
      <w:color w:val="000000"/>
      <w:kern w:val="2"/>
      <w:sz w:val="21"/>
      <w:szCs w:val="21"/>
      <w:u w:color="000000"/>
    </w:rPr>
  </w:style>
  <w:style w:type="character" w:customStyle="1" w:styleId="17">
    <w:name w:val="标题 字符"/>
    <w:basedOn w:val="12"/>
    <w:link w:val="10"/>
    <w:qFormat/>
    <w:uiPriority w:val="0"/>
    <w:rPr>
      <w:rFonts w:asciiTheme="majorHAnsi" w:hAnsiTheme="majorHAnsi" w:eastAsiaTheme="majorEastAsia" w:cstheme="majorBidi"/>
      <w:b/>
      <w:bCs/>
      <w:sz w:val="32"/>
      <w:szCs w:val="32"/>
      <w:lang w:eastAsia="en-US"/>
    </w:rPr>
  </w:style>
  <w:style w:type="character" w:customStyle="1" w:styleId="18">
    <w:name w:val="标题 3 字符"/>
    <w:basedOn w:val="12"/>
    <w:link w:val="4"/>
    <w:qFormat/>
    <w:uiPriority w:val="0"/>
    <w:rPr>
      <w:rFonts w:eastAsiaTheme="minorEastAsia"/>
      <w:b/>
      <w:bCs/>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1348</Words>
  <Characters>1552</Characters>
  <Lines>12</Lines>
  <Paragraphs>3</Paragraphs>
  <TotalTime>38</TotalTime>
  <ScaleCrop>false</ScaleCrop>
  <LinksUpToDate>false</LinksUpToDate>
  <CharactersWithSpaces>1558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2025-11-10T00:34:00Z</dcterms:created>
  <dc:creator>盟</dc:creator>
  <cp:lastModifiedBy>forest</cp:lastModifiedBy>
  <dcterms:modified xsi:type="dcterms:W3CDTF">2025-12-01T07:58:09Z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57992FE0F27D48E1AF551BDEC212ACAC_11</vt:lpwstr>
  </property>
  <property fmtid="{D5CDD505-2E9C-101B-9397-08002B2CF9AE}" pid="4" name="KSOTemplateDocerSaveRecord">
    <vt:lpwstr>eyJoZGlkIjoiMjk4ZGUxM2UwZmY0OGQ5ODczYzJkYzhmMzNiMjIyNGEiLCJ1c2VySWQiOiIxMjIwMTMwNDEwIn0=</vt:lpwstr>
  </property>
</Properties>
</file>