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cs="宋体"/>
          <w:b/>
          <w:bCs/>
          <w:szCs w:val="21"/>
        </w:rPr>
      </w:pPr>
      <w:r>
        <w:rPr>
          <w:rFonts w:hint="eastAsia" w:ascii="Arial" w:hAnsi="Arial" w:cs="Arial"/>
          <w:b/>
          <w:bCs/>
          <w:sz w:val="24"/>
        </w:rPr>
        <w:t>项目采购需求</w:t>
      </w:r>
    </w:p>
    <w:p>
      <w:pPr>
        <w:pStyle w:val="5"/>
        <w:spacing w:line="360" w:lineRule="auto"/>
        <w:jc w:val="both"/>
        <w:rPr>
          <w:rFonts w:ascii="Arial" w:hAnsi="Arial" w:cs="Arial"/>
          <w:sz w:val="24"/>
          <w:szCs w:val="24"/>
        </w:rPr>
      </w:pPr>
      <w:r>
        <w:rPr>
          <w:rFonts w:ascii="Arial" w:hAnsi="Arial" w:cs="Arial"/>
          <w:sz w:val="24"/>
          <w:szCs w:val="24"/>
        </w:rPr>
        <w:t>1.项目内容及要求</w:t>
      </w:r>
    </w:p>
    <w:p>
      <w:pPr>
        <w:pStyle w:val="6"/>
        <w:spacing w:line="360" w:lineRule="auto"/>
        <w:jc w:val="both"/>
        <w:rPr>
          <w:rFonts w:eastAsia="宋体" w:cs="Arial"/>
          <w:sz w:val="24"/>
          <w:szCs w:val="24"/>
        </w:rPr>
      </w:pPr>
      <w:r>
        <w:rPr>
          <w:rFonts w:eastAsia="宋体" w:cs="Arial"/>
          <w:sz w:val="24"/>
          <w:szCs w:val="24"/>
        </w:rPr>
        <w:t>1.1</w:t>
      </w:r>
      <w:r>
        <w:rPr>
          <w:rFonts w:hint="eastAsia" w:eastAsia="宋体" w:cs="Arial"/>
          <w:sz w:val="24"/>
          <w:szCs w:val="24"/>
        </w:rPr>
        <w:t>项目</w:t>
      </w:r>
      <w:r>
        <w:rPr>
          <w:rFonts w:eastAsia="宋体" w:cs="Arial"/>
          <w:sz w:val="24"/>
          <w:szCs w:val="24"/>
        </w:rPr>
        <w:t>内容一览表</w:t>
      </w:r>
    </w:p>
    <w:tbl>
      <w:tblPr>
        <w:tblStyle w:val="14"/>
        <w:tblW w:w="8519" w:type="dxa"/>
        <w:jc w:val="center"/>
        <w:tblInd w:w="0" w:type="dxa"/>
        <w:tblLayout w:type="fixed"/>
        <w:tblCellMar>
          <w:top w:w="0" w:type="dxa"/>
          <w:left w:w="108" w:type="dxa"/>
          <w:bottom w:w="0" w:type="dxa"/>
          <w:right w:w="108" w:type="dxa"/>
        </w:tblCellMar>
      </w:tblPr>
      <w:tblGrid>
        <w:gridCol w:w="1244"/>
        <w:gridCol w:w="5646"/>
        <w:gridCol w:w="1629"/>
      </w:tblGrid>
      <w:tr>
        <w:tblPrEx>
          <w:tblLayout w:type="fixed"/>
          <w:tblCellMar>
            <w:top w:w="0" w:type="dxa"/>
            <w:left w:w="108" w:type="dxa"/>
            <w:bottom w:w="0" w:type="dxa"/>
            <w:right w:w="108" w:type="dxa"/>
          </w:tblCellMar>
        </w:tblPrEx>
        <w:trPr>
          <w:trHeight w:val="348" w:hRule="atLeast"/>
          <w:jc w:val="center"/>
        </w:trPr>
        <w:tc>
          <w:tcPr>
            <w:tcW w:w="124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Arial" w:hAnsi="Arial" w:cs="Arial"/>
                <w:b/>
                <w:sz w:val="24"/>
              </w:rPr>
            </w:pPr>
            <w:r>
              <w:rPr>
                <w:rFonts w:ascii="Arial" w:hAnsi="Arial" w:cs="Arial"/>
                <w:b/>
                <w:sz w:val="24"/>
              </w:rPr>
              <w:t>序号</w:t>
            </w:r>
          </w:p>
        </w:tc>
        <w:tc>
          <w:tcPr>
            <w:tcW w:w="5646"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Arial" w:hAnsi="Arial" w:cs="Arial"/>
                <w:b/>
                <w:sz w:val="24"/>
              </w:rPr>
            </w:pPr>
            <w:r>
              <w:rPr>
                <w:rFonts w:hint="eastAsia" w:ascii="Arial" w:hAnsi="Arial" w:cs="Arial"/>
                <w:b/>
                <w:sz w:val="24"/>
              </w:rPr>
              <w:t>采购</w:t>
            </w:r>
            <w:r>
              <w:rPr>
                <w:rFonts w:ascii="Arial" w:hAnsi="Arial" w:cs="Arial"/>
                <w:b/>
                <w:sz w:val="24"/>
              </w:rPr>
              <w:t>内容名称</w:t>
            </w:r>
          </w:p>
        </w:tc>
        <w:tc>
          <w:tcPr>
            <w:tcW w:w="1629"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Arial" w:hAnsi="Arial" w:cs="Arial"/>
                <w:b/>
                <w:sz w:val="24"/>
              </w:rPr>
            </w:pPr>
            <w:r>
              <w:rPr>
                <w:rFonts w:ascii="Arial" w:hAnsi="Arial" w:cs="Arial"/>
                <w:b/>
                <w:sz w:val="24"/>
              </w:rPr>
              <w:t>数量</w:t>
            </w:r>
          </w:p>
        </w:tc>
      </w:tr>
      <w:tr>
        <w:tblPrEx>
          <w:tblLayout w:type="fixed"/>
          <w:tblCellMar>
            <w:top w:w="0" w:type="dxa"/>
            <w:left w:w="108" w:type="dxa"/>
            <w:bottom w:w="0" w:type="dxa"/>
            <w:right w:w="108" w:type="dxa"/>
          </w:tblCellMar>
        </w:tblPrEx>
        <w:trPr>
          <w:trHeight w:val="312" w:hRule="atLeast"/>
          <w:jc w:val="center"/>
        </w:trPr>
        <w:tc>
          <w:tcPr>
            <w:tcW w:w="124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Arial" w:hAnsi="Arial" w:cs="Arial"/>
                <w:sz w:val="24"/>
              </w:rPr>
            </w:pPr>
            <w:r>
              <w:rPr>
                <w:rFonts w:ascii="Arial" w:hAnsi="Arial" w:cs="Arial"/>
                <w:sz w:val="24"/>
              </w:rPr>
              <w:t>1</w:t>
            </w:r>
          </w:p>
        </w:tc>
        <w:tc>
          <w:tcPr>
            <w:tcW w:w="564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Arial" w:hAnsi="Arial" w:cs="Arial"/>
                <w:sz w:val="24"/>
              </w:rPr>
            </w:pPr>
            <w:r>
              <w:rPr>
                <w:rFonts w:hint="eastAsia" w:ascii="Arial" w:hAnsi="Arial" w:cs="Arial"/>
                <w:sz w:val="24"/>
              </w:rPr>
              <w:t>数据安全</w:t>
            </w:r>
            <w:r>
              <w:rPr>
                <w:rFonts w:hint="eastAsia" w:ascii="Arial" w:hAnsi="Arial" w:cs="Arial"/>
                <w:sz w:val="24"/>
                <w:lang w:val="en-US" w:eastAsia="zh-CN"/>
              </w:rPr>
              <w:t>审计</w:t>
            </w:r>
            <w:r>
              <w:rPr>
                <w:rFonts w:hint="eastAsia" w:ascii="Arial" w:hAnsi="Arial" w:cs="Arial"/>
                <w:sz w:val="24"/>
              </w:rPr>
              <w:t>支撑服务</w:t>
            </w:r>
          </w:p>
        </w:tc>
        <w:tc>
          <w:tcPr>
            <w:tcW w:w="162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Arial" w:hAnsi="Arial" w:cs="Arial"/>
                <w:sz w:val="24"/>
              </w:rPr>
            </w:pPr>
            <w:r>
              <w:rPr>
                <w:rFonts w:ascii="Arial" w:hAnsi="Arial" w:cs="Arial"/>
                <w:sz w:val="24"/>
              </w:rPr>
              <w:t>1</w:t>
            </w:r>
          </w:p>
        </w:tc>
      </w:tr>
    </w:tbl>
    <w:p>
      <w:pPr>
        <w:spacing w:line="360" w:lineRule="auto"/>
        <w:jc w:val="left"/>
        <w:rPr>
          <w:rFonts w:ascii="Arial" w:hAnsi="Arial" w:cs="Arial"/>
          <w:sz w:val="24"/>
        </w:rPr>
      </w:pPr>
    </w:p>
    <w:p>
      <w:pPr>
        <w:pStyle w:val="6"/>
        <w:spacing w:line="360" w:lineRule="auto"/>
        <w:jc w:val="both"/>
        <w:rPr>
          <w:rFonts w:eastAsia="宋体" w:cs="Arial"/>
          <w:sz w:val="24"/>
          <w:szCs w:val="24"/>
        </w:rPr>
      </w:pPr>
      <w:r>
        <w:rPr>
          <w:rFonts w:eastAsia="宋体" w:cs="Arial"/>
          <w:sz w:val="24"/>
          <w:szCs w:val="24"/>
        </w:rPr>
        <w:t>1.2</w:t>
      </w:r>
      <w:r>
        <w:rPr>
          <w:rFonts w:hint="eastAsia" w:eastAsia="宋体" w:cs="Arial"/>
          <w:sz w:val="24"/>
          <w:szCs w:val="24"/>
        </w:rPr>
        <w:t>项目</w:t>
      </w:r>
      <w:r>
        <w:rPr>
          <w:rFonts w:eastAsia="宋体" w:cs="Arial"/>
          <w:sz w:val="24"/>
          <w:szCs w:val="24"/>
        </w:rPr>
        <w:t>内容要求</w:t>
      </w:r>
    </w:p>
    <w:p>
      <w:pPr>
        <w:pStyle w:val="7"/>
        <w:spacing w:before="120" w:after="120" w:line="360" w:lineRule="auto"/>
        <w:jc w:val="left"/>
        <w:rPr>
          <w:rFonts w:eastAsia="宋体" w:cs="Arial"/>
          <w:b/>
          <w:bCs/>
          <w:sz w:val="24"/>
          <w:szCs w:val="24"/>
        </w:rPr>
      </w:pPr>
      <w:r>
        <w:rPr>
          <w:rFonts w:hint="eastAsia" w:eastAsia="宋体" w:cs="Arial"/>
          <w:b/>
          <w:bCs/>
          <w:sz w:val="24"/>
          <w:szCs w:val="24"/>
        </w:rPr>
        <w:t>(</w:t>
      </w:r>
      <w:r>
        <w:rPr>
          <w:rFonts w:hint="eastAsia" w:eastAsia="宋体" w:cs="Arial"/>
          <w:b/>
          <w:bCs/>
          <w:sz w:val="24"/>
          <w:szCs w:val="24"/>
          <w:lang w:val="en-US" w:eastAsia="zh-CN"/>
        </w:rPr>
        <w:t>1</w:t>
      </w:r>
      <w:r>
        <w:rPr>
          <w:rFonts w:hint="eastAsia" w:eastAsia="宋体" w:cs="Arial"/>
          <w:b/>
          <w:bCs/>
          <w:sz w:val="24"/>
          <w:szCs w:val="24"/>
        </w:rPr>
        <w:t>) 数据安全审计支撑服务</w:t>
      </w:r>
    </w:p>
    <w:tbl>
      <w:tblPr>
        <w:tblStyle w:val="14"/>
        <w:tblW w:w="8522" w:type="dxa"/>
        <w:tblInd w:w="0" w:type="dxa"/>
        <w:tblLayout w:type="fixed"/>
        <w:tblCellMar>
          <w:top w:w="0" w:type="dxa"/>
          <w:left w:w="108" w:type="dxa"/>
          <w:bottom w:w="0" w:type="dxa"/>
          <w:right w:w="108" w:type="dxa"/>
        </w:tblCellMar>
      </w:tblPr>
      <w:tblGrid>
        <w:gridCol w:w="1452"/>
        <w:gridCol w:w="7070"/>
      </w:tblGrid>
      <w:tr>
        <w:tblPrEx>
          <w:tblLayout w:type="fixed"/>
          <w:tblCellMar>
            <w:top w:w="0" w:type="dxa"/>
            <w:left w:w="108" w:type="dxa"/>
            <w:bottom w:w="0" w:type="dxa"/>
            <w:right w:w="108" w:type="dxa"/>
          </w:tblCellMar>
        </w:tblPrEx>
        <w:trPr>
          <w:trHeight w:val="315" w:hRule="atLeast"/>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内容名称</w:t>
            </w:r>
          </w:p>
        </w:tc>
        <w:tc>
          <w:tcPr>
            <w:tcW w:w="70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内容具体要求</w:t>
            </w:r>
          </w:p>
        </w:tc>
      </w:tr>
      <w:tr>
        <w:tblPrEx>
          <w:tblLayout w:type="fixed"/>
          <w:tblCellMar>
            <w:top w:w="0" w:type="dxa"/>
            <w:left w:w="108" w:type="dxa"/>
            <w:bottom w:w="0" w:type="dxa"/>
            <w:right w:w="108" w:type="dxa"/>
          </w:tblCellMar>
        </w:tblPrEx>
        <w:trPr>
          <w:trHeight w:val="1710" w:hRule="atLeast"/>
        </w:trPr>
        <w:tc>
          <w:tcPr>
            <w:tcW w:w="145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szCs w:val="24"/>
              </w:rPr>
            </w:pPr>
            <w:r>
              <w:rPr>
                <w:rFonts w:hint="eastAsia" w:ascii="仿宋" w:hAnsi="仿宋" w:eastAsia="仿宋" w:cs="仿宋"/>
                <w:sz w:val="21"/>
                <w:szCs w:val="21"/>
              </w:rPr>
              <w:t>数据安全</w:t>
            </w:r>
            <w:r>
              <w:rPr>
                <w:rFonts w:hint="eastAsia" w:ascii="仿宋" w:hAnsi="仿宋" w:eastAsia="仿宋" w:cs="仿宋"/>
                <w:sz w:val="21"/>
                <w:szCs w:val="21"/>
                <w:lang w:val="en-US" w:eastAsia="zh-CN"/>
              </w:rPr>
              <w:t>审计</w:t>
            </w:r>
            <w:r>
              <w:rPr>
                <w:rFonts w:hint="eastAsia" w:ascii="仿宋" w:hAnsi="仿宋" w:eastAsia="仿宋" w:cs="仿宋"/>
                <w:sz w:val="21"/>
                <w:szCs w:val="21"/>
              </w:rPr>
              <w:t>支撑服务</w:t>
            </w:r>
          </w:p>
        </w:tc>
        <w:tc>
          <w:tcPr>
            <w:tcW w:w="7070" w:type="dxa"/>
            <w:tcBorders>
              <w:top w:val="nil"/>
              <w:left w:val="nil"/>
              <w:bottom w:val="single" w:color="auto" w:sz="4" w:space="0"/>
              <w:right w:val="single" w:color="auto" w:sz="4" w:space="0"/>
            </w:tcBorders>
            <w:vAlign w:val="center"/>
          </w:tcPr>
          <w:p>
            <w:pPr>
              <w:widowControl/>
              <w:numPr>
                <w:ilvl w:val="0"/>
                <w:numId w:val="1"/>
              </w:numPr>
              <w:jc w:val="left"/>
              <w:rPr>
                <w:rFonts w:hint="eastAsia"/>
              </w:rPr>
            </w:pPr>
            <w:r>
              <w:rPr>
                <w:rFonts w:hint="eastAsia"/>
              </w:rPr>
              <w:t>为了</w:t>
            </w:r>
            <w:r>
              <w:rPr>
                <w:rFonts w:hint="eastAsia"/>
                <w:lang w:val="en-US" w:eastAsia="zh-CN"/>
              </w:rPr>
              <w:t>进一步做好数据安全保护工作，我中心拟开展“全国抗肿瘤药物临床应用监测网”数据安全审计工作。</w:t>
            </w:r>
            <w:r>
              <w:rPr>
                <w:rFonts w:hint="eastAsia"/>
              </w:rPr>
              <w:t>一是依据法律法规、规范、标准、指南对</w:t>
            </w:r>
            <w:r>
              <w:rPr>
                <w:rFonts w:hint="eastAsia"/>
                <w:lang w:val="en-US" w:eastAsia="zh-CN"/>
              </w:rPr>
              <w:t>“全国抗肿瘤药物临床应用监测网”</w:t>
            </w:r>
            <w:r>
              <w:rPr>
                <w:rFonts w:hint="eastAsia"/>
              </w:rPr>
              <w:t>实施</w:t>
            </w:r>
            <w:r>
              <w:rPr>
                <w:rFonts w:hint="eastAsia"/>
                <w:lang w:val="en-US" w:eastAsia="zh-CN"/>
              </w:rPr>
              <w:t>数据安全审计、个人信息保护合规审计。二是开展</w:t>
            </w:r>
            <w:r>
              <w:rPr>
                <w:rFonts w:hint="eastAsia"/>
              </w:rPr>
              <w:t>系统漏洞扫描、业务系统渗透测试等安全评估服务。</w:t>
            </w:r>
            <w:r>
              <w:rPr>
                <w:rFonts w:hint="eastAsia"/>
                <w:lang w:val="en-US" w:eastAsia="zh-CN"/>
              </w:rPr>
              <w:t>三</w:t>
            </w:r>
            <w:r>
              <w:rPr>
                <w:rFonts w:hint="eastAsia"/>
              </w:rPr>
              <w:t>是</w:t>
            </w:r>
            <w:r>
              <w:rPr>
                <w:rFonts w:hint="eastAsia"/>
                <w:lang w:val="en-US" w:eastAsia="zh-CN"/>
              </w:rPr>
              <w:t>针对安全审计支撑服务中不符合内容给出整改建议</w:t>
            </w:r>
            <w:r>
              <w:rPr>
                <w:rFonts w:hint="eastAsia"/>
              </w:rPr>
              <w:t>。</w:t>
            </w:r>
          </w:p>
          <w:p>
            <w:pPr>
              <w:widowControl/>
              <w:numPr>
                <w:ilvl w:val="0"/>
                <w:numId w:val="1"/>
              </w:numPr>
              <w:jc w:val="left"/>
              <w:rPr>
                <w:rFonts w:hint="eastAsia"/>
              </w:rPr>
            </w:pPr>
            <w:r>
              <w:rPr>
                <w:rFonts w:hint="eastAsia"/>
                <w:lang w:val="en-US" w:eastAsia="zh-CN"/>
              </w:rPr>
              <w:t>投标人</w:t>
            </w:r>
            <w:r>
              <w:rPr>
                <w:rFonts w:hint="eastAsia"/>
              </w:rPr>
              <w:t>应</w:t>
            </w:r>
            <w:r>
              <w:rPr>
                <w:rFonts w:hint="eastAsia"/>
                <w:lang w:val="en-US" w:eastAsia="zh-CN"/>
              </w:rPr>
              <w:t>在</w:t>
            </w:r>
            <w:r>
              <w:rPr>
                <w:rFonts w:hint="eastAsia"/>
              </w:rPr>
              <w:t>工作秘密信息防护指南（试行）等级测评机构</w:t>
            </w:r>
            <w:r>
              <w:rPr>
                <w:rFonts w:hint="eastAsia"/>
                <w:lang w:val="en-US" w:eastAsia="zh-CN"/>
              </w:rPr>
              <w:t>目录</w:t>
            </w:r>
            <w:r>
              <w:rPr>
                <w:rFonts w:hint="eastAsia"/>
              </w:rPr>
              <w:t>。</w:t>
            </w:r>
          </w:p>
          <w:p>
            <w:pPr>
              <w:widowControl/>
              <w:numPr>
                <w:ilvl w:val="0"/>
                <w:numId w:val="1"/>
              </w:numPr>
              <w:jc w:val="left"/>
              <w:rPr>
                <w:rFonts w:hint="default"/>
                <w:lang w:val="en-US" w:eastAsia="zh-CN"/>
              </w:rPr>
            </w:pPr>
            <w:r>
              <w:rPr>
                <w:rFonts w:hint="default"/>
                <w:lang w:val="en-US" w:eastAsia="zh-CN"/>
              </w:rPr>
              <w:t>投标人须持有在有效期内的网络安全服务认证证书等级保护测评服务认证证书，提供证书复印件或下述网站查询截图：https://www.djbh.net/agency?q=agencyIn&amp;tab=2</w:t>
            </w:r>
            <w:r>
              <w:rPr>
                <w:rFonts w:hint="eastAsia"/>
                <w:lang w:val="en-US" w:eastAsia="zh-CN"/>
              </w:rPr>
              <w:t>。</w:t>
            </w:r>
          </w:p>
          <w:p>
            <w:pPr>
              <w:widowControl/>
              <w:numPr>
                <w:ilvl w:val="0"/>
                <w:numId w:val="1"/>
              </w:numPr>
              <w:jc w:val="left"/>
              <w:rPr>
                <w:rFonts w:hint="default"/>
                <w:lang w:val="en-US" w:eastAsia="zh-CN"/>
              </w:rPr>
            </w:pPr>
            <w:r>
              <w:rPr>
                <w:rFonts w:hint="default"/>
                <w:lang w:val="en-US" w:eastAsia="zh-CN"/>
              </w:rPr>
              <w:t>投标人需是国家密码管理局公告（49号）附件：商用密码检测机构（商用密码应用安全性评估业务）目录中的机构。评标委员会根据下述网站公告名单进行核查：https://www.oscca.gov.cn/sca/xwdt/2024-11/11/content_1061214.shtml</w:t>
            </w:r>
            <w:r>
              <w:rPr>
                <w:rFonts w:hint="eastAsia"/>
                <w:lang w:val="en-US" w:eastAsia="zh-CN"/>
              </w:rPr>
              <w:t>。</w:t>
            </w:r>
          </w:p>
          <w:p>
            <w:pPr>
              <w:pStyle w:val="2"/>
              <w:numPr>
                <w:ilvl w:val="0"/>
                <w:numId w:val="1"/>
              </w:numPr>
              <w:ind w:left="0" w:leftChars="0" w:firstLine="0" w:firstLineChars="0"/>
              <w:rPr>
                <w:rFonts w:hint="default"/>
                <w:lang w:val="en-US" w:eastAsia="zh-CN"/>
              </w:rPr>
            </w:pPr>
            <w:r>
              <w:rPr>
                <w:rFonts w:hint="eastAsia"/>
                <w:lang w:val="en-US" w:eastAsia="zh-CN"/>
              </w:rPr>
              <w:t>项目组至少4人，并具备</w:t>
            </w:r>
            <w:r>
              <w:rPr>
                <w:rFonts w:hint="default"/>
                <w:lang w:val="en-US" w:eastAsia="zh-CN"/>
              </w:rPr>
              <w:t>个人信息保护合规审计人员能力合格证书。</w:t>
            </w:r>
            <w:r>
              <w:rPr>
                <w:rFonts w:hint="eastAsia"/>
                <w:lang w:val="en-US" w:eastAsia="zh-CN"/>
              </w:rPr>
              <w:t>项目经理需具备高级测评师基础上，还有具备</w:t>
            </w:r>
            <w:r>
              <w:rPr>
                <w:rFonts w:hint="default"/>
                <w:lang w:val="en-US" w:eastAsia="zh-CN"/>
              </w:rPr>
              <w:t>个人信息保护合规审计人员能力</w:t>
            </w:r>
            <w:r>
              <w:rPr>
                <w:rFonts w:hint="eastAsia"/>
                <w:lang w:val="en-US" w:eastAsia="zh-CN"/>
              </w:rPr>
              <w:t>（高级）</w:t>
            </w:r>
            <w:bookmarkStart w:id="0" w:name="_GoBack"/>
            <w:bookmarkEnd w:id="0"/>
            <w:r>
              <w:rPr>
                <w:rFonts w:hint="eastAsia"/>
                <w:lang w:val="en-US" w:eastAsia="zh-CN"/>
              </w:rPr>
              <w:t>、DSO、CISP和CISSP、信息系统项目管理师等资质。</w:t>
            </w:r>
          </w:p>
        </w:tc>
      </w:tr>
    </w:tbl>
    <w:p>
      <w:pPr>
        <w:spacing w:line="360" w:lineRule="auto"/>
        <w:jc w:val="left"/>
        <w:rPr>
          <w:rFonts w:ascii="Arial" w:hAnsi="Arial" w:cs="Arial"/>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C33FE5"/>
    <w:multiLevelType w:val="singleLevel"/>
    <w:tmpl w:val="A0C33FE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936947"/>
    <w:rsid w:val="00015945"/>
    <w:rsid w:val="00024963"/>
    <w:rsid w:val="000271DC"/>
    <w:rsid w:val="0003486A"/>
    <w:rsid w:val="00055D70"/>
    <w:rsid w:val="00056D60"/>
    <w:rsid w:val="000775B3"/>
    <w:rsid w:val="00082B8F"/>
    <w:rsid w:val="00096A42"/>
    <w:rsid w:val="000C5998"/>
    <w:rsid w:val="000E1F34"/>
    <w:rsid w:val="00104ED3"/>
    <w:rsid w:val="00133A91"/>
    <w:rsid w:val="0014116B"/>
    <w:rsid w:val="0016216C"/>
    <w:rsid w:val="001D7D41"/>
    <w:rsid w:val="001E138C"/>
    <w:rsid w:val="001E3E8D"/>
    <w:rsid w:val="001E57EB"/>
    <w:rsid w:val="001F45D0"/>
    <w:rsid w:val="002244F2"/>
    <w:rsid w:val="00230C54"/>
    <w:rsid w:val="00280E75"/>
    <w:rsid w:val="002943C9"/>
    <w:rsid w:val="002B002B"/>
    <w:rsid w:val="002E2A8F"/>
    <w:rsid w:val="002E6600"/>
    <w:rsid w:val="0030102E"/>
    <w:rsid w:val="003057B8"/>
    <w:rsid w:val="00315884"/>
    <w:rsid w:val="00327A02"/>
    <w:rsid w:val="00337D2A"/>
    <w:rsid w:val="003531E2"/>
    <w:rsid w:val="00393103"/>
    <w:rsid w:val="003945FA"/>
    <w:rsid w:val="003C7600"/>
    <w:rsid w:val="003D409A"/>
    <w:rsid w:val="003F5631"/>
    <w:rsid w:val="00424BE2"/>
    <w:rsid w:val="00444A9E"/>
    <w:rsid w:val="00446C9C"/>
    <w:rsid w:val="004505C4"/>
    <w:rsid w:val="00456B77"/>
    <w:rsid w:val="00464F40"/>
    <w:rsid w:val="004B3469"/>
    <w:rsid w:val="004F71BE"/>
    <w:rsid w:val="005628C4"/>
    <w:rsid w:val="005A0159"/>
    <w:rsid w:val="005A2D11"/>
    <w:rsid w:val="005B466B"/>
    <w:rsid w:val="00636526"/>
    <w:rsid w:val="006759C4"/>
    <w:rsid w:val="006965C8"/>
    <w:rsid w:val="006A006F"/>
    <w:rsid w:val="006A161D"/>
    <w:rsid w:val="006C47D5"/>
    <w:rsid w:val="006D02A3"/>
    <w:rsid w:val="00726C44"/>
    <w:rsid w:val="00736884"/>
    <w:rsid w:val="00746F99"/>
    <w:rsid w:val="00755580"/>
    <w:rsid w:val="00760A22"/>
    <w:rsid w:val="00760CA0"/>
    <w:rsid w:val="00771EBD"/>
    <w:rsid w:val="0077368A"/>
    <w:rsid w:val="007918A7"/>
    <w:rsid w:val="008035B6"/>
    <w:rsid w:val="00842479"/>
    <w:rsid w:val="00867BBE"/>
    <w:rsid w:val="00882467"/>
    <w:rsid w:val="008A7EBC"/>
    <w:rsid w:val="008B1028"/>
    <w:rsid w:val="008D225F"/>
    <w:rsid w:val="008D6E58"/>
    <w:rsid w:val="008E3C30"/>
    <w:rsid w:val="008E5EE4"/>
    <w:rsid w:val="009177B6"/>
    <w:rsid w:val="00943D29"/>
    <w:rsid w:val="00954FC5"/>
    <w:rsid w:val="00961797"/>
    <w:rsid w:val="00997EAB"/>
    <w:rsid w:val="009E37DA"/>
    <w:rsid w:val="00A2109F"/>
    <w:rsid w:val="00A303CF"/>
    <w:rsid w:val="00A57B66"/>
    <w:rsid w:val="00A648DB"/>
    <w:rsid w:val="00A674F7"/>
    <w:rsid w:val="00A72E18"/>
    <w:rsid w:val="00A8050C"/>
    <w:rsid w:val="00A81097"/>
    <w:rsid w:val="00A81311"/>
    <w:rsid w:val="00B11E0E"/>
    <w:rsid w:val="00B17022"/>
    <w:rsid w:val="00B9175A"/>
    <w:rsid w:val="00B921D8"/>
    <w:rsid w:val="00BA40C5"/>
    <w:rsid w:val="00BA74DA"/>
    <w:rsid w:val="00BE048C"/>
    <w:rsid w:val="00BF55EC"/>
    <w:rsid w:val="00C614EE"/>
    <w:rsid w:val="00D02635"/>
    <w:rsid w:val="00D466C4"/>
    <w:rsid w:val="00D700BF"/>
    <w:rsid w:val="00D76031"/>
    <w:rsid w:val="00DB571E"/>
    <w:rsid w:val="00DB5F5A"/>
    <w:rsid w:val="00DD58AE"/>
    <w:rsid w:val="00E13F93"/>
    <w:rsid w:val="00E151FC"/>
    <w:rsid w:val="00E31019"/>
    <w:rsid w:val="00E703E8"/>
    <w:rsid w:val="00E769CA"/>
    <w:rsid w:val="00E94CBA"/>
    <w:rsid w:val="00EA6EEF"/>
    <w:rsid w:val="00EC6BB1"/>
    <w:rsid w:val="00F06C68"/>
    <w:rsid w:val="00F32CDF"/>
    <w:rsid w:val="00F4017A"/>
    <w:rsid w:val="00F65BB8"/>
    <w:rsid w:val="00F66029"/>
    <w:rsid w:val="00FA343A"/>
    <w:rsid w:val="00FE3E73"/>
    <w:rsid w:val="00FF594C"/>
    <w:rsid w:val="06AA7102"/>
    <w:rsid w:val="077B0FCE"/>
    <w:rsid w:val="08690E7D"/>
    <w:rsid w:val="0C5471C4"/>
    <w:rsid w:val="0EE00083"/>
    <w:rsid w:val="0F0552C4"/>
    <w:rsid w:val="126F5E4C"/>
    <w:rsid w:val="16D942ED"/>
    <w:rsid w:val="19CC6E08"/>
    <w:rsid w:val="1BBC47A6"/>
    <w:rsid w:val="1C2C773A"/>
    <w:rsid w:val="1CB62E5A"/>
    <w:rsid w:val="1D425522"/>
    <w:rsid w:val="1DE07EB6"/>
    <w:rsid w:val="1E936947"/>
    <w:rsid w:val="2047171B"/>
    <w:rsid w:val="2601480B"/>
    <w:rsid w:val="27ED5DDC"/>
    <w:rsid w:val="2A025E43"/>
    <w:rsid w:val="2C605C79"/>
    <w:rsid w:val="2D1A31AB"/>
    <w:rsid w:val="3219597B"/>
    <w:rsid w:val="35FB34EC"/>
    <w:rsid w:val="38AC16B5"/>
    <w:rsid w:val="3955132B"/>
    <w:rsid w:val="39A06EA1"/>
    <w:rsid w:val="412D136B"/>
    <w:rsid w:val="41787BD9"/>
    <w:rsid w:val="43AF7237"/>
    <w:rsid w:val="440A7694"/>
    <w:rsid w:val="441B0761"/>
    <w:rsid w:val="494A4D0E"/>
    <w:rsid w:val="4DE7626D"/>
    <w:rsid w:val="4FA40152"/>
    <w:rsid w:val="4FB94345"/>
    <w:rsid w:val="545168B9"/>
    <w:rsid w:val="64770D1B"/>
    <w:rsid w:val="6AD31DCD"/>
    <w:rsid w:val="6B9F7AC6"/>
    <w:rsid w:val="6C8644A6"/>
    <w:rsid w:val="6CD0378A"/>
    <w:rsid w:val="700456BD"/>
    <w:rsid w:val="72091534"/>
    <w:rsid w:val="749C0A5E"/>
    <w:rsid w:val="74DB3BB9"/>
    <w:rsid w:val="761E4FB0"/>
    <w:rsid w:val="7F0453AF"/>
    <w:rsid w:val="7F14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8">
    <w:name w:val="annotation text"/>
    <w:basedOn w:val="1"/>
    <w:link w:val="24"/>
    <w:qFormat/>
    <w:uiPriority w:val="0"/>
    <w:pPr>
      <w:jc w:val="left"/>
    </w:p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8"/>
    <w:next w:val="8"/>
    <w:link w:val="25"/>
    <w:qFormat/>
    <w:uiPriority w:val="0"/>
    <w:rPr>
      <w:b/>
      <w:bCs/>
    </w:rPr>
  </w:style>
  <w:style w:type="character" w:styleId="16">
    <w:name w:val="FollowedHyperlink"/>
    <w:qFormat/>
    <w:uiPriority w:val="99"/>
    <w:rPr>
      <w:color w:val="800080"/>
      <w:u w:val="single"/>
    </w:rPr>
  </w:style>
  <w:style w:type="character" w:styleId="17">
    <w:name w:val="annotation reference"/>
    <w:basedOn w:val="15"/>
    <w:qFormat/>
    <w:uiPriority w:val="0"/>
    <w:rPr>
      <w:sz w:val="21"/>
      <w:szCs w:val="21"/>
    </w:rPr>
  </w:style>
  <w:style w:type="paragraph" w:customStyle="1" w:styleId="18">
    <w:name w:val="列表段落1"/>
    <w:basedOn w:val="1"/>
    <w:qFormat/>
    <w:uiPriority w:val="34"/>
    <w:pPr>
      <w:ind w:firstLine="420" w:firstLineChars="200"/>
    </w:pPr>
    <w:rPr>
      <w:rFonts w:ascii="Calibri" w:hAnsi="Calibri"/>
      <w:szCs w:val="22"/>
    </w:rPr>
  </w:style>
  <w:style w:type="paragraph" w:customStyle="1" w:styleId="19">
    <w:name w:val="_Style 579"/>
    <w:basedOn w:val="1"/>
    <w:next w:val="20"/>
    <w:qFormat/>
    <w:uiPriority w:val="34"/>
    <w:pPr>
      <w:ind w:firstLine="420" w:firstLineChars="200"/>
    </w:pPr>
    <w:rPr>
      <w:rFonts w:ascii="Calibri" w:hAnsi="Calibri"/>
      <w:szCs w:val="22"/>
    </w:rPr>
  </w:style>
  <w:style w:type="paragraph" w:styleId="20">
    <w:name w:val="List Paragraph"/>
    <w:basedOn w:val="1"/>
    <w:unhideWhenUsed/>
    <w:qFormat/>
    <w:uiPriority w:val="99"/>
    <w:pPr>
      <w:ind w:firstLine="420" w:firstLineChars="200"/>
    </w:pPr>
  </w:style>
  <w:style w:type="paragraph" w:customStyle="1" w:styleId="21">
    <w:name w:val="_Style 575"/>
    <w:basedOn w:val="1"/>
    <w:next w:val="20"/>
    <w:qFormat/>
    <w:uiPriority w:val="34"/>
    <w:pPr>
      <w:ind w:firstLine="420" w:firstLineChars="200"/>
    </w:pPr>
    <w:rPr>
      <w:rFonts w:ascii="Calibri" w:hAnsi="Calibri"/>
      <w:szCs w:val="22"/>
    </w:rPr>
  </w:style>
  <w:style w:type="character" w:customStyle="1" w:styleId="22">
    <w:name w:val="页眉 字符"/>
    <w:basedOn w:val="15"/>
    <w:link w:val="11"/>
    <w:qFormat/>
    <w:uiPriority w:val="0"/>
    <w:rPr>
      <w:rFonts w:ascii="Times New Roman" w:hAnsi="Times New Roman" w:eastAsia="宋体" w:cs="Times New Roman"/>
      <w:kern w:val="2"/>
      <w:sz w:val="18"/>
      <w:szCs w:val="18"/>
    </w:rPr>
  </w:style>
  <w:style w:type="character" w:customStyle="1" w:styleId="23">
    <w:name w:val="页脚 字符"/>
    <w:basedOn w:val="15"/>
    <w:link w:val="10"/>
    <w:qFormat/>
    <w:uiPriority w:val="0"/>
    <w:rPr>
      <w:rFonts w:ascii="Times New Roman" w:hAnsi="Times New Roman" w:eastAsia="宋体" w:cs="Times New Roman"/>
      <w:kern w:val="2"/>
      <w:sz w:val="18"/>
      <w:szCs w:val="18"/>
    </w:rPr>
  </w:style>
  <w:style w:type="character" w:customStyle="1" w:styleId="24">
    <w:name w:val="批注文字 字符"/>
    <w:basedOn w:val="15"/>
    <w:link w:val="8"/>
    <w:qFormat/>
    <w:uiPriority w:val="0"/>
    <w:rPr>
      <w:rFonts w:ascii="Times New Roman" w:hAnsi="Times New Roman" w:eastAsia="宋体" w:cs="Times New Roman"/>
      <w:kern w:val="2"/>
      <w:sz w:val="21"/>
      <w:szCs w:val="24"/>
    </w:rPr>
  </w:style>
  <w:style w:type="character" w:customStyle="1" w:styleId="25">
    <w:name w:val="批注主题 字符"/>
    <w:basedOn w:val="24"/>
    <w:link w:val="13"/>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644DC-D336-4F1C-AF4C-6027C102E9F6}">
  <ds:schemaRefs/>
</ds:datastoreItem>
</file>

<file path=docProps/app.xml><?xml version="1.0" encoding="utf-8"?>
<Properties xmlns="http://schemas.openxmlformats.org/officeDocument/2006/extended-properties" xmlns:vt="http://schemas.openxmlformats.org/officeDocument/2006/docPropsVTypes">
  <Template>Normal</Template>
  <Pages>2</Pages>
  <Words>2397</Words>
  <Characters>2487</Characters>
  <Lines>65</Lines>
  <Paragraphs>42</Paragraphs>
  <TotalTime>2</TotalTime>
  <ScaleCrop>false</ScaleCrop>
  <LinksUpToDate>false</LinksUpToDate>
  <CharactersWithSpaces>2494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2025-08-06T07:51:00Z</dcterms:created>
  <dc:creator>尘埃落定</dc:creator>
  <cp:lastModifiedBy>PC</cp:lastModifiedBy>
  <dcterms:modified xsi:type="dcterms:W3CDTF">2025-10-20T03:22:33Z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EB7BFD41C85F41F2BFA4570FC4C7822D_11</vt:lpwstr>
  </property>
  <property fmtid="{D5CDD505-2E9C-101B-9397-08002B2CF9AE}" pid="4" name="KSOTemplateDocerSaveRecord">
    <vt:lpwstr>eyJoZGlkIjoiNzRmZTUwZWRjNTcyMjcxZjVkMTk3YWQ1YjU2MDQzYWEiLCJ1c2VySWQiOiI0MjMyNTI1MTEifQ==</vt:lpwstr>
  </property>
</Properties>
</file>