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7BD2CFE5"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中国医学科学院肿瘤医院廊坊院区</w:t>
      </w:r>
    </w:p>
    <w:p w14:paraId="01343F38"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防火墙入侵检测及杀毒模块采购需求</w:t>
      </w:r>
    </w:p>
    <w:p w14:paraId="7E48942B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采购内容</w:t>
      </w:r>
    </w:p>
    <w:p w14:paraId="42E2FE0E">
      <w:pPr>
        <w:numPr>
          <w:ilvl w:val="2"/>
          <w:numId w:val="1"/>
        </w:numPr>
        <w:spacing w:line="360" w:lineRule="auto"/>
      </w:pPr>
      <w:r>
        <w:rPr>
          <w:rFonts w:hint="eastAsia"/>
        </w:rPr>
        <w:t>防火墙入侵防御及杀毒模块，相关设备清单附后。</w:t>
      </w:r>
    </w:p>
    <w:p w14:paraId="5D200B08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采购要求</w:t>
      </w:r>
    </w:p>
    <w:p w14:paraId="0EBC0FA6">
      <w:pPr>
        <w:numPr>
          <w:ilvl w:val="2"/>
          <w:numId w:val="1"/>
        </w:numPr>
        <w:spacing w:line="360" w:lineRule="auto"/>
      </w:pPr>
      <w:r>
        <w:rPr>
          <w:rFonts w:hint="eastAsia"/>
        </w:rPr>
        <w:t>软件授权</w:t>
      </w:r>
    </w:p>
    <w:p w14:paraId="1D100E0A">
      <w:pPr>
        <w:spacing w:line="360" w:lineRule="auto"/>
        <w:ind w:firstLine="420"/>
      </w:pPr>
      <w:r>
        <w:rPr>
          <w:rFonts w:hint="eastAsia"/>
          <w:szCs w:val="21"/>
        </w:rPr>
        <w:t>提供入侵防御、反病毒模块授权</w:t>
      </w:r>
      <w:r>
        <w:rPr>
          <w:rFonts w:hint="eastAsia"/>
        </w:rPr>
        <w:t>。</w:t>
      </w:r>
    </w:p>
    <w:p w14:paraId="1C13CAE9">
      <w:pPr>
        <w:numPr>
          <w:ilvl w:val="2"/>
          <w:numId w:val="1"/>
        </w:numPr>
        <w:spacing w:line="360" w:lineRule="auto"/>
      </w:pPr>
      <w:r>
        <w:rPr>
          <w:rFonts w:hint="eastAsia"/>
        </w:rPr>
        <w:t>漏洞修复</w:t>
      </w:r>
    </w:p>
    <w:p w14:paraId="2FE83B67">
      <w:pPr>
        <w:spacing w:line="360" w:lineRule="auto"/>
        <w:ind w:firstLine="420"/>
      </w:pPr>
      <w:r>
        <w:t>设备软件系统</w:t>
      </w:r>
      <w:r>
        <w:rPr>
          <w:rFonts w:hint="eastAsia"/>
        </w:rPr>
        <w:t>及自</w:t>
      </w:r>
      <w:r>
        <w:t>身</w:t>
      </w:r>
      <w:r>
        <w:rPr>
          <w:rFonts w:hint="eastAsia"/>
        </w:rPr>
        <w:t>系统</w:t>
      </w:r>
      <w:r>
        <w:t>漏洞修复</w:t>
      </w:r>
      <w:r>
        <w:rPr>
          <w:rFonts w:hint="eastAsia"/>
        </w:rPr>
        <w:t>。</w:t>
      </w:r>
    </w:p>
    <w:p w14:paraId="17A1C76B">
      <w:pPr>
        <w:numPr>
          <w:ilvl w:val="2"/>
          <w:numId w:val="1"/>
        </w:numPr>
        <w:spacing w:line="360" w:lineRule="auto"/>
      </w:pPr>
      <w:r>
        <w:rPr>
          <w:rFonts w:hint="eastAsia"/>
        </w:rPr>
        <w:t>7*24小时技术热线支持</w:t>
      </w:r>
    </w:p>
    <w:p w14:paraId="440D5446">
      <w:pPr>
        <w:spacing w:line="360" w:lineRule="auto"/>
        <w:ind w:firstLine="420"/>
      </w:pPr>
      <w:r>
        <w:rPr>
          <w:rFonts w:hint="eastAsia"/>
          <w:szCs w:val="16"/>
        </w:rPr>
        <w:t>提供产品技术咨询、故障申报、硬件维修、备件损坏更换、培训需求、以及服务政策咨询等服务内容的实时受理，并通过专业高效的IT系统对服务进行全程记录和跟踪</w:t>
      </w:r>
      <w:r>
        <w:rPr>
          <w:rFonts w:hint="eastAsia"/>
        </w:rPr>
        <w:t>。</w:t>
      </w:r>
    </w:p>
    <w:p w14:paraId="4FA8D0B1">
      <w:pPr>
        <w:numPr>
          <w:ilvl w:val="2"/>
          <w:numId w:val="1"/>
        </w:numPr>
        <w:spacing w:line="360" w:lineRule="auto"/>
      </w:pPr>
      <w:r>
        <w:rPr>
          <w:rFonts w:hint="eastAsia"/>
        </w:rPr>
        <w:t>现场支持</w:t>
      </w:r>
    </w:p>
    <w:p w14:paraId="1A5B0473">
      <w:pPr>
        <w:spacing w:line="360" w:lineRule="auto"/>
        <w:ind w:firstLine="420"/>
      </w:pPr>
      <w:r>
        <w:rPr>
          <w:rFonts w:hint="eastAsia"/>
        </w:rPr>
        <w:t>当远程支持方式不能有效解决故障时，中标公司需派遣工程师在4小时内到达现场，协助进行现场故障诊断、排除。</w:t>
      </w:r>
    </w:p>
    <w:p w14:paraId="5339135E">
      <w:pPr>
        <w:spacing w:line="360" w:lineRule="auto"/>
      </w:pPr>
      <w:r>
        <w:rPr>
          <w:rFonts w:hint="eastAsia"/>
        </w:rPr>
        <w:t>（5）需提供原厂授权证明。</w:t>
      </w:r>
    </w:p>
    <w:p w14:paraId="55083559">
      <w:pPr>
        <w:rPr>
          <w:rFonts w:ascii="宋体" w:hAnsi="宋体" w:eastAsia="宋体" w:cs="宋体"/>
          <w:color w:val="333333"/>
          <w:sz w:val="24"/>
        </w:rPr>
      </w:pPr>
    </w:p>
    <w:p w14:paraId="058A47DF"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8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2"/>
        <w:gridCol w:w="655"/>
        <w:gridCol w:w="1228"/>
        <w:gridCol w:w="1459"/>
        <w:gridCol w:w="586"/>
        <w:gridCol w:w="798"/>
        <w:gridCol w:w="2444"/>
        <w:gridCol w:w="655"/>
      </w:tblGrid>
      <w:tr w14:paraId="3E4F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7" w:type="pct"/>
            <w:vAlign w:val="center"/>
          </w:tcPr>
          <w:p w14:paraId="4CA924EA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333" w:type="pct"/>
            <w:vAlign w:val="center"/>
          </w:tcPr>
          <w:p w14:paraId="2F840000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设备类型</w:t>
            </w:r>
          </w:p>
        </w:tc>
        <w:tc>
          <w:tcPr>
            <w:tcW w:w="369" w:type="pct"/>
            <w:vAlign w:val="center"/>
          </w:tcPr>
          <w:p w14:paraId="14D801E5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设备品牌</w:t>
            </w:r>
          </w:p>
        </w:tc>
        <w:tc>
          <w:tcPr>
            <w:tcW w:w="691" w:type="pct"/>
            <w:vAlign w:val="center"/>
          </w:tcPr>
          <w:p w14:paraId="1E4F4A7D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设备型号</w:t>
            </w:r>
          </w:p>
        </w:tc>
        <w:tc>
          <w:tcPr>
            <w:tcW w:w="822" w:type="pct"/>
            <w:vAlign w:val="center"/>
          </w:tcPr>
          <w:p w14:paraId="0AED6610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授权模块</w:t>
            </w:r>
          </w:p>
        </w:tc>
        <w:tc>
          <w:tcPr>
            <w:tcW w:w="330" w:type="pct"/>
            <w:vAlign w:val="center"/>
          </w:tcPr>
          <w:p w14:paraId="5C90F033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数量/台</w:t>
            </w:r>
          </w:p>
        </w:tc>
        <w:tc>
          <w:tcPr>
            <w:tcW w:w="449" w:type="pct"/>
            <w:vAlign w:val="center"/>
          </w:tcPr>
          <w:p w14:paraId="1DCBE8F5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维保到期日</w:t>
            </w:r>
          </w:p>
        </w:tc>
        <w:tc>
          <w:tcPr>
            <w:tcW w:w="1377" w:type="pct"/>
            <w:vAlign w:val="center"/>
          </w:tcPr>
          <w:p w14:paraId="55A9F05B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采购要求</w:t>
            </w:r>
          </w:p>
        </w:tc>
        <w:tc>
          <w:tcPr>
            <w:tcW w:w="369" w:type="pct"/>
            <w:vAlign w:val="center"/>
          </w:tcPr>
          <w:p w14:paraId="3B89882E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维保时间</w:t>
            </w:r>
          </w:p>
        </w:tc>
      </w:tr>
      <w:tr w14:paraId="4A2A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7" w:type="pct"/>
            <w:vMerge w:val="restart"/>
            <w:vAlign w:val="center"/>
          </w:tcPr>
          <w:p w14:paraId="4B0E9EB0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</w:t>
            </w:r>
          </w:p>
        </w:tc>
        <w:tc>
          <w:tcPr>
            <w:tcW w:w="333" w:type="pct"/>
            <w:vMerge w:val="restart"/>
            <w:vAlign w:val="center"/>
          </w:tcPr>
          <w:p w14:paraId="61D18F41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防火墙</w:t>
            </w:r>
          </w:p>
        </w:tc>
        <w:tc>
          <w:tcPr>
            <w:tcW w:w="369" w:type="pct"/>
            <w:vMerge w:val="restart"/>
            <w:vAlign w:val="center"/>
          </w:tcPr>
          <w:p w14:paraId="0D7E93E6">
            <w:pPr>
              <w:spacing w:line="480" w:lineRule="auto"/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华为</w:t>
            </w:r>
          </w:p>
        </w:tc>
        <w:tc>
          <w:tcPr>
            <w:tcW w:w="691" w:type="pct"/>
            <w:vAlign w:val="center"/>
          </w:tcPr>
          <w:p w14:paraId="62359A79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USG6610E</w:t>
            </w:r>
          </w:p>
        </w:tc>
        <w:tc>
          <w:tcPr>
            <w:tcW w:w="822" w:type="pct"/>
          </w:tcPr>
          <w:p w14:paraId="1FBDD667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入侵防御、反病毒模块</w:t>
            </w:r>
          </w:p>
        </w:tc>
        <w:tc>
          <w:tcPr>
            <w:tcW w:w="330" w:type="pct"/>
            <w:vAlign w:val="center"/>
          </w:tcPr>
          <w:p w14:paraId="0D060413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</w:t>
            </w:r>
          </w:p>
        </w:tc>
        <w:tc>
          <w:tcPr>
            <w:tcW w:w="449" w:type="pct"/>
            <w:vMerge w:val="restart"/>
            <w:vAlign w:val="center"/>
          </w:tcPr>
          <w:p w14:paraId="4A4DCF08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2025年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10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月</w:t>
            </w:r>
          </w:p>
        </w:tc>
        <w:tc>
          <w:tcPr>
            <w:tcW w:w="1377" w:type="pct"/>
            <w:vAlign w:val="center"/>
          </w:tcPr>
          <w:p w14:paraId="3181B852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1、入侵防御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升级</w:t>
            </w:r>
          </w:p>
          <w:p w14:paraId="3CB37595">
            <w:pPr>
              <w:jc w:val="both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2、反病毒模块升级</w:t>
            </w:r>
          </w:p>
        </w:tc>
        <w:tc>
          <w:tcPr>
            <w:tcW w:w="369" w:type="pct"/>
            <w:vAlign w:val="center"/>
          </w:tcPr>
          <w:p w14:paraId="3FB30948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1年</w:t>
            </w:r>
          </w:p>
        </w:tc>
      </w:tr>
      <w:tr w14:paraId="5B30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7" w:type="pct"/>
            <w:vMerge w:val="continue"/>
            <w:vAlign w:val="center"/>
          </w:tcPr>
          <w:p w14:paraId="48934D57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3" w:type="pct"/>
            <w:vMerge w:val="continue"/>
          </w:tcPr>
          <w:p w14:paraId="60DC9545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69" w:type="pct"/>
            <w:vMerge w:val="continue"/>
          </w:tcPr>
          <w:p w14:paraId="493C2A7A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691" w:type="pct"/>
            <w:vAlign w:val="center"/>
          </w:tcPr>
          <w:p w14:paraId="5D501F26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USG6630E</w:t>
            </w:r>
          </w:p>
        </w:tc>
        <w:tc>
          <w:tcPr>
            <w:tcW w:w="822" w:type="pct"/>
          </w:tcPr>
          <w:p w14:paraId="6083EB95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入侵防御、反病毒模块</w:t>
            </w:r>
          </w:p>
        </w:tc>
        <w:tc>
          <w:tcPr>
            <w:tcW w:w="330" w:type="pct"/>
            <w:vAlign w:val="center"/>
          </w:tcPr>
          <w:p w14:paraId="1441770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4</w:t>
            </w:r>
          </w:p>
        </w:tc>
        <w:tc>
          <w:tcPr>
            <w:tcW w:w="449" w:type="pct"/>
            <w:vMerge w:val="continue"/>
            <w:vAlign w:val="center"/>
          </w:tcPr>
          <w:p w14:paraId="58777A83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77" w:type="pct"/>
            <w:vAlign w:val="center"/>
          </w:tcPr>
          <w:p w14:paraId="4322944C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1、入侵防御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升级</w:t>
            </w:r>
          </w:p>
          <w:p w14:paraId="47508ADC">
            <w:pPr>
              <w:jc w:val="both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2、反病毒模块升级</w:t>
            </w:r>
          </w:p>
        </w:tc>
        <w:tc>
          <w:tcPr>
            <w:tcW w:w="369" w:type="pct"/>
            <w:vAlign w:val="center"/>
          </w:tcPr>
          <w:p w14:paraId="3226D9BD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1年</w:t>
            </w:r>
          </w:p>
        </w:tc>
      </w:tr>
      <w:tr w14:paraId="0E86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7" w:type="pct"/>
            <w:vMerge w:val="continue"/>
            <w:vAlign w:val="center"/>
          </w:tcPr>
          <w:p w14:paraId="2CA75CCF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3" w:type="pct"/>
            <w:vMerge w:val="continue"/>
          </w:tcPr>
          <w:p w14:paraId="5ECD7D6A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69" w:type="pct"/>
            <w:vMerge w:val="continue"/>
          </w:tcPr>
          <w:p w14:paraId="713DA3B9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691" w:type="pct"/>
            <w:vAlign w:val="center"/>
          </w:tcPr>
          <w:p w14:paraId="62BCAC7F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USG6650E</w:t>
            </w:r>
          </w:p>
        </w:tc>
        <w:tc>
          <w:tcPr>
            <w:tcW w:w="822" w:type="pct"/>
          </w:tcPr>
          <w:p w14:paraId="3479EC92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入侵防御、反病毒模块</w:t>
            </w:r>
          </w:p>
        </w:tc>
        <w:tc>
          <w:tcPr>
            <w:tcW w:w="330" w:type="pct"/>
            <w:vAlign w:val="center"/>
          </w:tcPr>
          <w:p w14:paraId="78495CDA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8</w:t>
            </w:r>
          </w:p>
        </w:tc>
        <w:tc>
          <w:tcPr>
            <w:tcW w:w="449" w:type="pct"/>
            <w:vMerge w:val="continue"/>
            <w:vAlign w:val="center"/>
          </w:tcPr>
          <w:p w14:paraId="5A63DFF0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77" w:type="pct"/>
            <w:vAlign w:val="center"/>
          </w:tcPr>
          <w:p w14:paraId="077B24AB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1、入侵防御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升级</w:t>
            </w:r>
          </w:p>
          <w:p w14:paraId="623C1803">
            <w:pPr>
              <w:jc w:val="both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2、反病毒模块升级</w:t>
            </w:r>
          </w:p>
        </w:tc>
        <w:tc>
          <w:tcPr>
            <w:tcW w:w="369" w:type="pct"/>
            <w:vAlign w:val="center"/>
          </w:tcPr>
          <w:p w14:paraId="63388A43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1年</w:t>
            </w:r>
          </w:p>
        </w:tc>
      </w:tr>
      <w:tr w14:paraId="64A1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7" w:type="pct"/>
            <w:vMerge w:val="continue"/>
            <w:vAlign w:val="center"/>
          </w:tcPr>
          <w:p w14:paraId="1F8BD6FE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3" w:type="pct"/>
            <w:vMerge w:val="continue"/>
          </w:tcPr>
          <w:p w14:paraId="2457E64C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69" w:type="pct"/>
            <w:vMerge w:val="continue"/>
          </w:tcPr>
          <w:p w14:paraId="7D525E9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691" w:type="pct"/>
            <w:vAlign w:val="center"/>
          </w:tcPr>
          <w:p w14:paraId="7957CD86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USG6680E</w:t>
            </w:r>
          </w:p>
        </w:tc>
        <w:tc>
          <w:tcPr>
            <w:tcW w:w="822" w:type="pct"/>
          </w:tcPr>
          <w:p w14:paraId="63FDBB1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入侵防御、反病毒模块</w:t>
            </w:r>
          </w:p>
        </w:tc>
        <w:tc>
          <w:tcPr>
            <w:tcW w:w="330" w:type="pct"/>
            <w:vAlign w:val="center"/>
          </w:tcPr>
          <w:p w14:paraId="29B1DEB1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</w:t>
            </w:r>
          </w:p>
        </w:tc>
        <w:tc>
          <w:tcPr>
            <w:tcW w:w="449" w:type="pct"/>
            <w:vMerge w:val="continue"/>
            <w:vAlign w:val="center"/>
          </w:tcPr>
          <w:p w14:paraId="156259F8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77" w:type="pct"/>
            <w:vAlign w:val="center"/>
          </w:tcPr>
          <w:p w14:paraId="2CE7E0C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1、入侵防御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升级</w:t>
            </w:r>
          </w:p>
          <w:p w14:paraId="1AF649A3">
            <w:pPr>
              <w:jc w:val="both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2、反病毒模块升级</w:t>
            </w:r>
          </w:p>
        </w:tc>
        <w:tc>
          <w:tcPr>
            <w:tcW w:w="369" w:type="pct"/>
            <w:vAlign w:val="center"/>
          </w:tcPr>
          <w:p w14:paraId="2457193F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1年</w:t>
            </w:r>
          </w:p>
        </w:tc>
      </w:tr>
    </w:tbl>
    <w:p w14:paraId="53FBC913">
      <w:pPr>
        <w:rPr>
          <w:rFonts w:ascii="宋体" w:hAnsi="宋体" w:eastAsia="宋体" w:cs="宋体"/>
          <w:color w:val="333333"/>
          <w:sz w:val="24"/>
        </w:rPr>
      </w:pPr>
    </w:p>
    <w:p w14:paraId="718F5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2A065C9"/>
    <w:rsid w:val="1A2532C4"/>
    <w:rsid w:val="2C050140"/>
    <w:rsid w:val="2F90209E"/>
    <w:rsid w:val="4062502C"/>
    <w:rsid w:val="42483274"/>
    <w:rsid w:val="4B464925"/>
    <w:rsid w:val="4DD352E7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829</Characters>
  <Lines>71</Lines>
  <Paragraphs>57</Paragraphs>
  <TotalTime>0</TotalTime>
  <ScaleCrop>false</ScaleCrop>
  <LinksUpToDate>false</LinksUpToDate>
  <CharactersWithSpaces>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