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64F61">
      <w:pPr>
        <w:widowControl/>
        <w:spacing w:line="360" w:lineRule="auto"/>
        <w:jc w:val="center"/>
        <w:rPr>
          <w:rFonts w:hint="eastAsia" w:ascii="宋体" w:hAnsi="宋体" w:cs="宋体"/>
          <w:b/>
          <w:bCs/>
          <w:szCs w:val="21"/>
        </w:rPr>
      </w:pPr>
      <w:r>
        <w:rPr>
          <w:rFonts w:hint="eastAsia" w:ascii="Arial" w:hAnsi="Arial" w:cs="Arial"/>
          <w:b/>
          <w:bCs/>
          <w:sz w:val="24"/>
        </w:rPr>
        <w:t>项目采购需求</w:t>
      </w:r>
    </w:p>
    <w:p w14:paraId="5B100D16">
      <w:pPr>
        <w:pStyle w:val="2"/>
        <w:spacing w:line="360" w:lineRule="auto"/>
        <w:jc w:val="both"/>
        <w:rPr>
          <w:rFonts w:ascii="Arial" w:hAnsi="Arial" w:cs="Arial"/>
          <w:sz w:val="24"/>
          <w:szCs w:val="24"/>
        </w:rPr>
      </w:pPr>
      <w:r>
        <w:rPr>
          <w:rFonts w:ascii="Arial" w:hAnsi="Arial" w:cs="Arial"/>
          <w:sz w:val="24"/>
          <w:szCs w:val="24"/>
        </w:rPr>
        <w:t>1.项目内容及要求</w:t>
      </w:r>
    </w:p>
    <w:p w14:paraId="11D2DE76">
      <w:pPr>
        <w:pStyle w:val="3"/>
        <w:spacing w:line="360" w:lineRule="auto"/>
        <w:jc w:val="both"/>
        <w:rPr>
          <w:rFonts w:eastAsia="宋体" w:cs="Arial"/>
          <w:sz w:val="24"/>
          <w:szCs w:val="24"/>
        </w:rPr>
      </w:pPr>
      <w:r>
        <w:rPr>
          <w:rFonts w:eastAsia="宋体" w:cs="Arial"/>
          <w:sz w:val="24"/>
          <w:szCs w:val="24"/>
        </w:rPr>
        <w:t>1.1</w:t>
      </w:r>
      <w:r>
        <w:rPr>
          <w:rFonts w:hint="eastAsia" w:eastAsia="宋体" w:cs="Arial"/>
          <w:sz w:val="24"/>
          <w:szCs w:val="24"/>
        </w:rPr>
        <w:t>项目</w:t>
      </w:r>
      <w:r>
        <w:rPr>
          <w:rFonts w:eastAsia="宋体" w:cs="Arial"/>
          <w:sz w:val="24"/>
          <w:szCs w:val="24"/>
        </w:rPr>
        <w:t>内容一览表</w:t>
      </w:r>
    </w:p>
    <w:tbl>
      <w:tblPr>
        <w:tblStyle w:val="12"/>
        <w:tblW w:w="4998" w:type="pct"/>
        <w:jc w:val="center"/>
        <w:tblLayout w:type="autofit"/>
        <w:tblCellMar>
          <w:top w:w="0" w:type="dxa"/>
          <w:left w:w="108" w:type="dxa"/>
          <w:bottom w:w="0" w:type="dxa"/>
          <w:right w:w="108" w:type="dxa"/>
        </w:tblCellMar>
      </w:tblPr>
      <w:tblGrid>
        <w:gridCol w:w="1244"/>
        <w:gridCol w:w="5646"/>
        <w:gridCol w:w="1629"/>
      </w:tblGrid>
      <w:tr w14:paraId="7B1AB2E6">
        <w:tblPrEx>
          <w:tblCellMar>
            <w:top w:w="0" w:type="dxa"/>
            <w:left w:w="108" w:type="dxa"/>
            <w:bottom w:w="0" w:type="dxa"/>
            <w:right w:w="108" w:type="dxa"/>
          </w:tblCellMar>
        </w:tblPrEx>
        <w:trPr>
          <w:trHeight w:val="348" w:hRule="atLeast"/>
          <w:jc w:val="center"/>
        </w:trPr>
        <w:tc>
          <w:tcPr>
            <w:tcW w:w="730" w:type="pct"/>
            <w:tcBorders>
              <w:top w:val="single" w:color="auto" w:sz="4" w:space="0"/>
              <w:left w:val="single" w:color="auto" w:sz="4" w:space="0"/>
              <w:bottom w:val="single" w:color="auto" w:sz="4" w:space="0"/>
              <w:right w:val="single" w:color="auto" w:sz="4" w:space="0"/>
            </w:tcBorders>
            <w:noWrap/>
            <w:vAlign w:val="center"/>
          </w:tcPr>
          <w:p w14:paraId="2DFBED50">
            <w:pPr>
              <w:widowControl/>
              <w:spacing w:line="360" w:lineRule="auto"/>
              <w:jc w:val="center"/>
              <w:rPr>
                <w:rFonts w:ascii="Arial" w:hAnsi="Arial" w:cs="Arial"/>
                <w:b/>
                <w:sz w:val="24"/>
              </w:rPr>
            </w:pPr>
            <w:r>
              <w:rPr>
                <w:rFonts w:ascii="Arial" w:hAnsi="Arial" w:cs="Arial"/>
                <w:b/>
                <w:sz w:val="24"/>
              </w:rPr>
              <w:t>序号</w:t>
            </w:r>
          </w:p>
        </w:tc>
        <w:tc>
          <w:tcPr>
            <w:tcW w:w="3314" w:type="pct"/>
            <w:tcBorders>
              <w:top w:val="single" w:color="auto" w:sz="4" w:space="0"/>
              <w:left w:val="nil"/>
              <w:bottom w:val="single" w:color="auto" w:sz="4" w:space="0"/>
              <w:right w:val="single" w:color="auto" w:sz="4" w:space="0"/>
            </w:tcBorders>
            <w:noWrap/>
            <w:vAlign w:val="center"/>
          </w:tcPr>
          <w:p w14:paraId="52BBE3D7">
            <w:pPr>
              <w:widowControl/>
              <w:spacing w:line="360" w:lineRule="auto"/>
              <w:jc w:val="center"/>
              <w:rPr>
                <w:rFonts w:ascii="Arial" w:hAnsi="Arial" w:cs="Arial"/>
                <w:b/>
                <w:sz w:val="24"/>
              </w:rPr>
            </w:pPr>
            <w:r>
              <w:rPr>
                <w:rFonts w:hint="eastAsia" w:ascii="Arial" w:hAnsi="Arial" w:cs="Arial"/>
                <w:b/>
                <w:sz w:val="24"/>
              </w:rPr>
              <w:t>采购</w:t>
            </w:r>
            <w:r>
              <w:rPr>
                <w:rFonts w:ascii="Arial" w:hAnsi="Arial" w:cs="Arial"/>
                <w:b/>
                <w:sz w:val="24"/>
              </w:rPr>
              <w:t>内容名称</w:t>
            </w:r>
          </w:p>
        </w:tc>
        <w:tc>
          <w:tcPr>
            <w:tcW w:w="957" w:type="pct"/>
            <w:tcBorders>
              <w:top w:val="single" w:color="auto" w:sz="4" w:space="0"/>
              <w:left w:val="nil"/>
              <w:bottom w:val="single" w:color="auto" w:sz="4" w:space="0"/>
              <w:right w:val="single" w:color="auto" w:sz="4" w:space="0"/>
            </w:tcBorders>
            <w:noWrap/>
            <w:vAlign w:val="center"/>
          </w:tcPr>
          <w:p w14:paraId="3397DB78">
            <w:pPr>
              <w:widowControl/>
              <w:spacing w:line="360" w:lineRule="auto"/>
              <w:jc w:val="center"/>
              <w:rPr>
                <w:rFonts w:ascii="Arial" w:hAnsi="Arial" w:cs="Arial"/>
                <w:b/>
                <w:sz w:val="24"/>
              </w:rPr>
            </w:pPr>
            <w:r>
              <w:rPr>
                <w:rFonts w:ascii="Arial" w:hAnsi="Arial" w:cs="Arial"/>
                <w:b/>
                <w:sz w:val="24"/>
              </w:rPr>
              <w:t>数量</w:t>
            </w:r>
          </w:p>
        </w:tc>
      </w:tr>
      <w:tr w14:paraId="499BF395">
        <w:tblPrEx>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noWrap/>
            <w:vAlign w:val="center"/>
          </w:tcPr>
          <w:p w14:paraId="13BA6E87">
            <w:pPr>
              <w:widowControl/>
              <w:spacing w:line="360" w:lineRule="auto"/>
              <w:jc w:val="center"/>
              <w:rPr>
                <w:rFonts w:ascii="Arial" w:hAnsi="Arial" w:cs="Arial"/>
                <w:sz w:val="24"/>
              </w:rPr>
            </w:pPr>
            <w:r>
              <w:rPr>
                <w:rFonts w:ascii="Arial" w:hAnsi="Arial" w:cs="Arial"/>
                <w:sz w:val="24"/>
              </w:rPr>
              <w:t>1</w:t>
            </w:r>
          </w:p>
        </w:tc>
        <w:tc>
          <w:tcPr>
            <w:tcW w:w="3314" w:type="pct"/>
            <w:tcBorders>
              <w:top w:val="single" w:color="auto" w:sz="4" w:space="0"/>
              <w:left w:val="single" w:color="auto" w:sz="4" w:space="0"/>
              <w:bottom w:val="single" w:color="auto" w:sz="4" w:space="0"/>
              <w:right w:val="single" w:color="auto" w:sz="4" w:space="0"/>
            </w:tcBorders>
            <w:noWrap/>
          </w:tcPr>
          <w:p w14:paraId="0CCCC424">
            <w:pPr>
              <w:widowControl/>
              <w:spacing w:line="360" w:lineRule="auto"/>
              <w:jc w:val="center"/>
              <w:rPr>
                <w:rFonts w:ascii="Arial" w:hAnsi="Arial" w:cs="Arial"/>
                <w:sz w:val="24"/>
              </w:rPr>
            </w:pPr>
            <w:r>
              <w:rPr>
                <w:rFonts w:hint="eastAsia" w:ascii="Arial" w:hAnsi="Arial" w:cs="Arial"/>
                <w:sz w:val="24"/>
              </w:rPr>
              <w:t>数据业务安全监测服务</w:t>
            </w:r>
          </w:p>
        </w:tc>
        <w:tc>
          <w:tcPr>
            <w:tcW w:w="957" w:type="pct"/>
            <w:tcBorders>
              <w:top w:val="single" w:color="auto" w:sz="4" w:space="0"/>
              <w:left w:val="single" w:color="auto" w:sz="4" w:space="0"/>
              <w:bottom w:val="single" w:color="auto" w:sz="4" w:space="0"/>
              <w:right w:val="single" w:color="auto" w:sz="4" w:space="0"/>
            </w:tcBorders>
            <w:noWrap/>
            <w:vAlign w:val="center"/>
          </w:tcPr>
          <w:p w14:paraId="44E0F1A6">
            <w:pPr>
              <w:widowControl/>
              <w:spacing w:line="360" w:lineRule="auto"/>
              <w:jc w:val="center"/>
              <w:rPr>
                <w:rFonts w:ascii="Arial" w:hAnsi="Arial" w:cs="Arial"/>
                <w:sz w:val="24"/>
              </w:rPr>
            </w:pPr>
            <w:r>
              <w:rPr>
                <w:rFonts w:ascii="Arial" w:hAnsi="Arial" w:cs="Arial"/>
                <w:sz w:val="24"/>
              </w:rPr>
              <w:t>1</w:t>
            </w:r>
          </w:p>
        </w:tc>
      </w:tr>
      <w:tr w14:paraId="30B88C67">
        <w:tblPrEx>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noWrap/>
            <w:vAlign w:val="center"/>
          </w:tcPr>
          <w:p w14:paraId="343A1F96">
            <w:pPr>
              <w:widowControl/>
              <w:spacing w:line="360" w:lineRule="auto"/>
              <w:jc w:val="center"/>
              <w:rPr>
                <w:rFonts w:ascii="Arial" w:hAnsi="Arial" w:cs="Arial"/>
                <w:sz w:val="24"/>
              </w:rPr>
            </w:pPr>
            <w:r>
              <w:rPr>
                <w:rFonts w:ascii="Arial" w:hAnsi="Arial" w:cs="Arial"/>
                <w:sz w:val="24"/>
              </w:rPr>
              <w:t>2</w:t>
            </w:r>
          </w:p>
        </w:tc>
        <w:tc>
          <w:tcPr>
            <w:tcW w:w="3314" w:type="pct"/>
            <w:tcBorders>
              <w:top w:val="single" w:color="auto" w:sz="4" w:space="0"/>
              <w:left w:val="single" w:color="auto" w:sz="4" w:space="0"/>
              <w:bottom w:val="single" w:color="auto" w:sz="4" w:space="0"/>
              <w:right w:val="single" w:color="auto" w:sz="4" w:space="0"/>
            </w:tcBorders>
            <w:noWrap/>
          </w:tcPr>
          <w:p w14:paraId="6543B347">
            <w:pPr>
              <w:widowControl/>
              <w:spacing w:line="360" w:lineRule="auto"/>
              <w:jc w:val="center"/>
              <w:rPr>
                <w:rFonts w:ascii="Arial" w:hAnsi="Arial" w:cs="Arial"/>
                <w:sz w:val="24"/>
              </w:rPr>
            </w:pPr>
            <w:r>
              <w:rPr>
                <w:rFonts w:hint="eastAsia" w:ascii="Arial" w:hAnsi="Arial" w:cs="Arial"/>
                <w:sz w:val="24"/>
              </w:rPr>
              <w:t>数据安全评估支撑服务</w:t>
            </w:r>
          </w:p>
        </w:tc>
        <w:tc>
          <w:tcPr>
            <w:tcW w:w="957" w:type="pct"/>
            <w:tcBorders>
              <w:top w:val="single" w:color="auto" w:sz="4" w:space="0"/>
              <w:left w:val="single" w:color="auto" w:sz="4" w:space="0"/>
              <w:bottom w:val="single" w:color="auto" w:sz="4" w:space="0"/>
              <w:right w:val="single" w:color="auto" w:sz="4" w:space="0"/>
            </w:tcBorders>
            <w:noWrap/>
            <w:vAlign w:val="center"/>
          </w:tcPr>
          <w:p w14:paraId="2DDFF2DE">
            <w:pPr>
              <w:widowControl/>
              <w:spacing w:line="360" w:lineRule="auto"/>
              <w:jc w:val="center"/>
              <w:rPr>
                <w:rFonts w:ascii="Arial" w:hAnsi="Arial" w:cs="Arial"/>
                <w:sz w:val="24"/>
              </w:rPr>
            </w:pPr>
            <w:r>
              <w:rPr>
                <w:rFonts w:ascii="Arial" w:hAnsi="Arial" w:cs="Arial"/>
                <w:sz w:val="24"/>
              </w:rPr>
              <w:t>1</w:t>
            </w:r>
          </w:p>
        </w:tc>
      </w:tr>
    </w:tbl>
    <w:p w14:paraId="283E1FFC">
      <w:pPr>
        <w:spacing w:line="360" w:lineRule="auto"/>
        <w:jc w:val="left"/>
        <w:rPr>
          <w:rFonts w:ascii="Arial" w:hAnsi="Arial" w:cs="Arial"/>
          <w:sz w:val="24"/>
        </w:rPr>
      </w:pPr>
    </w:p>
    <w:p w14:paraId="3558F84F">
      <w:pPr>
        <w:pStyle w:val="3"/>
        <w:spacing w:line="360" w:lineRule="auto"/>
        <w:jc w:val="both"/>
        <w:rPr>
          <w:rFonts w:eastAsia="宋体" w:cs="Arial"/>
          <w:sz w:val="24"/>
          <w:szCs w:val="24"/>
        </w:rPr>
      </w:pPr>
      <w:r>
        <w:rPr>
          <w:rFonts w:eastAsia="宋体" w:cs="Arial"/>
          <w:sz w:val="24"/>
          <w:szCs w:val="24"/>
        </w:rPr>
        <w:t>1.2</w:t>
      </w:r>
      <w:r>
        <w:rPr>
          <w:rFonts w:hint="eastAsia" w:eastAsia="宋体" w:cs="Arial"/>
          <w:sz w:val="24"/>
          <w:szCs w:val="24"/>
        </w:rPr>
        <w:t>项目</w:t>
      </w:r>
      <w:r>
        <w:rPr>
          <w:rFonts w:eastAsia="宋体" w:cs="Arial"/>
          <w:sz w:val="24"/>
          <w:szCs w:val="24"/>
        </w:rPr>
        <w:t>内容要求</w:t>
      </w:r>
    </w:p>
    <w:p w14:paraId="313AD0DB">
      <w:pPr>
        <w:pStyle w:val="5"/>
        <w:spacing w:before="120" w:after="120" w:line="360" w:lineRule="auto"/>
        <w:jc w:val="left"/>
        <w:rPr>
          <w:rFonts w:eastAsia="宋体" w:cs="Arial"/>
          <w:bCs/>
          <w:sz w:val="24"/>
          <w:szCs w:val="24"/>
        </w:rPr>
      </w:pPr>
      <w:r>
        <w:rPr>
          <w:rFonts w:hint="eastAsia" w:eastAsia="宋体" w:cs="Arial"/>
          <w:bCs/>
          <w:sz w:val="24"/>
          <w:szCs w:val="24"/>
        </w:rPr>
        <w:t>(1)数据业务安全监测服务</w:t>
      </w:r>
    </w:p>
    <w:tbl>
      <w:tblPr>
        <w:tblStyle w:val="12"/>
        <w:tblW w:w="5000" w:type="pct"/>
        <w:tblInd w:w="0" w:type="dxa"/>
        <w:tblLayout w:type="autofit"/>
        <w:tblCellMar>
          <w:top w:w="0" w:type="dxa"/>
          <w:left w:w="108" w:type="dxa"/>
          <w:bottom w:w="0" w:type="dxa"/>
          <w:right w:w="108" w:type="dxa"/>
        </w:tblCellMar>
      </w:tblPr>
      <w:tblGrid>
        <w:gridCol w:w="1452"/>
        <w:gridCol w:w="7070"/>
      </w:tblGrid>
      <w:tr w14:paraId="0CD018F6">
        <w:tblPrEx>
          <w:tblCellMar>
            <w:top w:w="0" w:type="dxa"/>
            <w:left w:w="108" w:type="dxa"/>
            <w:bottom w:w="0" w:type="dxa"/>
            <w:right w:w="108" w:type="dxa"/>
          </w:tblCellMar>
        </w:tblPrEx>
        <w:trPr>
          <w:trHeight w:val="315" w:hRule="atLeast"/>
        </w:trPr>
        <w:tc>
          <w:tcPr>
            <w:tcW w:w="852" w:type="pct"/>
            <w:tcBorders>
              <w:top w:val="single" w:color="auto" w:sz="4" w:space="0"/>
              <w:left w:val="single" w:color="auto" w:sz="4" w:space="0"/>
              <w:bottom w:val="single" w:color="auto" w:sz="4" w:space="0"/>
              <w:right w:val="single" w:color="auto" w:sz="4" w:space="0"/>
            </w:tcBorders>
            <w:vAlign w:val="center"/>
          </w:tcPr>
          <w:p w14:paraId="142A68DE">
            <w:pPr>
              <w:widowControl/>
              <w:jc w:val="center"/>
              <w:rPr>
                <w:rFonts w:hint="eastAsia" w:ascii="宋体" w:hAnsi="宋体" w:cs="宋体"/>
                <w:b/>
                <w:bCs/>
                <w:color w:val="000000"/>
                <w:kern w:val="0"/>
                <w:sz w:val="24"/>
              </w:rPr>
            </w:pPr>
            <w:bookmarkStart w:id="0" w:name="_Hlk204092083"/>
            <w:r>
              <w:rPr>
                <w:rFonts w:hint="eastAsia" w:ascii="宋体" w:hAnsi="宋体" w:cs="宋体"/>
                <w:b/>
                <w:bCs/>
                <w:color w:val="000000"/>
                <w:kern w:val="0"/>
                <w:sz w:val="24"/>
              </w:rPr>
              <w:t>内容名称</w:t>
            </w:r>
          </w:p>
        </w:tc>
        <w:tc>
          <w:tcPr>
            <w:tcW w:w="4148" w:type="pct"/>
            <w:tcBorders>
              <w:top w:val="single" w:color="auto" w:sz="4" w:space="0"/>
              <w:left w:val="nil"/>
              <w:bottom w:val="single" w:color="auto" w:sz="4" w:space="0"/>
              <w:right w:val="single" w:color="auto" w:sz="4" w:space="0"/>
            </w:tcBorders>
            <w:vAlign w:val="center"/>
          </w:tcPr>
          <w:p w14:paraId="3A05D52E">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内容具体要求</w:t>
            </w:r>
          </w:p>
        </w:tc>
      </w:tr>
      <w:tr w14:paraId="29DF6F83">
        <w:tblPrEx>
          <w:tblCellMar>
            <w:top w:w="0" w:type="dxa"/>
            <w:left w:w="108" w:type="dxa"/>
            <w:bottom w:w="0" w:type="dxa"/>
            <w:right w:w="108" w:type="dxa"/>
          </w:tblCellMar>
        </w:tblPrEx>
        <w:trPr>
          <w:trHeight w:val="290" w:hRule="atLeast"/>
        </w:trPr>
        <w:tc>
          <w:tcPr>
            <w:tcW w:w="852" w:type="pct"/>
            <w:tcBorders>
              <w:top w:val="nil"/>
              <w:left w:val="single" w:color="auto" w:sz="4" w:space="0"/>
              <w:bottom w:val="single" w:color="auto" w:sz="4" w:space="0"/>
              <w:right w:val="single" w:color="auto" w:sz="4" w:space="0"/>
            </w:tcBorders>
            <w:vAlign w:val="center"/>
          </w:tcPr>
          <w:p w14:paraId="265A4147">
            <w:pPr>
              <w:widowControl/>
              <w:jc w:val="center"/>
              <w:rPr>
                <w:rFonts w:hint="eastAsia" w:ascii="宋体" w:hAnsi="宋体" w:cs="宋体"/>
                <w:color w:val="000000"/>
                <w:kern w:val="0"/>
                <w:sz w:val="24"/>
              </w:rPr>
            </w:pPr>
            <w:r>
              <w:rPr>
                <w:rFonts w:hint="eastAsia" w:ascii="宋体" w:hAnsi="宋体" w:cs="宋体"/>
                <w:color w:val="000000"/>
                <w:kern w:val="0"/>
                <w:sz w:val="24"/>
              </w:rPr>
              <w:t>数据业务安全监测服务</w:t>
            </w:r>
          </w:p>
        </w:tc>
        <w:tc>
          <w:tcPr>
            <w:tcW w:w="4148" w:type="pct"/>
            <w:tcBorders>
              <w:top w:val="nil"/>
              <w:left w:val="nil"/>
              <w:bottom w:val="single" w:color="auto" w:sz="4" w:space="0"/>
              <w:right w:val="single" w:color="auto" w:sz="4" w:space="0"/>
            </w:tcBorders>
            <w:vAlign w:val="center"/>
          </w:tcPr>
          <w:p w14:paraId="40CFF074">
            <w:pPr>
              <w:widowControl/>
              <w:jc w:val="left"/>
              <w:rPr>
                <w:rFonts w:hint="eastAsia" w:ascii="宋体" w:hAnsi="宋体" w:cs="宋体"/>
                <w:color w:val="000000"/>
                <w:kern w:val="0"/>
                <w:sz w:val="24"/>
              </w:rPr>
            </w:pPr>
            <w:r>
              <w:rPr>
                <w:rFonts w:hint="eastAsia" w:ascii="宋体" w:hAnsi="宋体" w:cs="宋体"/>
                <w:color w:val="000000"/>
                <w:kern w:val="0"/>
                <w:sz w:val="24"/>
              </w:rPr>
              <w:t>1.数据资产管理：协助癌症中心进行监测网数据资产管理，通过日志分析发现并整理应用资产，梳理API资产与应用间关联关系，并对关联的API个数、访问量、风险量、账号数、最近活跃时间等信息进行统计分析；定期整理并输出应用资产关联风险、关联账号详情信息。</w:t>
            </w:r>
          </w:p>
          <w:p w14:paraId="702CCC59">
            <w:pPr>
              <w:widowControl/>
              <w:jc w:val="left"/>
              <w:rPr>
                <w:rFonts w:hint="eastAsia" w:ascii="宋体" w:hAnsi="宋体" w:cs="宋体"/>
                <w:color w:val="000000"/>
                <w:kern w:val="0"/>
                <w:sz w:val="24"/>
              </w:rPr>
            </w:pPr>
            <w:r>
              <w:rPr>
                <w:rFonts w:hint="eastAsia" w:ascii="宋体" w:hAnsi="宋体" w:cs="宋体"/>
                <w:color w:val="000000"/>
                <w:kern w:val="0"/>
                <w:sz w:val="24"/>
              </w:rPr>
              <w:t>2.数据应用人员画像分析：协助癌症中心对监测网的人员基础信息、关联账号进行维护管理，帮助癌症中心建立人员档案；基于人员基本信息、账号信息、人员行为、关联告警、访问趋势、行为记录等信息建立用户画像，定期进行风险分析，并对人员风险分级管理，根据人员关联风险将人员归为高风险、中风险、低风险人员，针对重点人员可进行关注并及时反馈风险事件。</w:t>
            </w:r>
          </w:p>
          <w:p w14:paraId="1E765D79">
            <w:pPr>
              <w:widowControl/>
              <w:jc w:val="left"/>
              <w:rPr>
                <w:rFonts w:hint="eastAsia" w:ascii="宋体" w:hAnsi="宋体" w:cs="宋体"/>
                <w:color w:val="000000"/>
                <w:kern w:val="0"/>
                <w:sz w:val="24"/>
              </w:rPr>
            </w:pPr>
            <w:r>
              <w:rPr>
                <w:rFonts w:hint="eastAsia" w:ascii="宋体" w:hAnsi="宋体" w:cs="宋体"/>
                <w:color w:val="000000"/>
                <w:kern w:val="0"/>
                <w:sz w:val="24"/>
              </w:rPr>
              <w:t>3.数据风险策略管理：协助癌症中心完善监测网的风险分析策略，针对对外接口高频访问风险、对外接口敏感数据未脱敏风险建立风险分析模型，模型内容包括填写模型名称、风险登记、类别、模型描述、建模配置信息；能够根据癌症中心需求增加风险识别模型，并帮助用户进行FlinkSql、Flink可视化建模、Flink.Jar等方式进行建模配置；协助用户建立风险识别白名单并进行日常白名单IP管理。</w:t>
            </w:r>
          </w:p>
          <w:p w14:paraId="0A738214">
            <w:pPr>
              <w:widowControl/>
              <w:jc w:val="left"/>
              <w:rPr>
                <w:rFonts w:hint="eastAsia" w:ascii="宋体" w:hAnsi="宋体" w:cs="宋体"/>
                <w:color w:val="000000"/>
                <w:kern w:val="0"/>
                <w:sz w:val="24"/>
              </w:rPr>
            </w:pPr>
            <w:r>
              <w:rPr>
                <w:rFonts w:hint="eastAsia" w:ascii="宋体" w:hAnsi="宋体" w:cs="宋体"/>
                <w:color w:val="000000"/>
                <w:kern w:val="0"/>
                <w:sz w:val="24"/>
              </w:rPr>
              <w:t>4.数据安全风险识别监测：协助癌症中心对监测网采集的日志进行分析监测，从日志中识别发现数据风险并提供预警；对风险预警进行处置并提供处置说明，实现数据安全管控闭环；定期输出风险报告，提供风险概览，对风险登记、风险处置情况、重点风险分布、风险趋势等信息进行统计分析。</w:t>
            </w:r>
          </w:p>
          <w:p w14:paraId="096B4BE7">
            <w:pPr>
              <w:widowControl/>
              <w:jc w:val="left"/>
              <w:rPr>
                <w:rFonts w:hint="eastAsia" w:ascii="宋体" w:hAnsi="宋体" w:cs="宋体"/>
                <w:color w:val="000000"/>
                <w:kern w:val="0"/>
                <w:sz w:val="24"/>
              </w:rPr>
            </w:pPr>
            <w:r>
              <w:rPr>
                <w:rFonts w:hint="eastAsia" w:ascii="宋体" w:hAnsi="宋体" w:cs="宋体"/>
                <w:color w:val="000000"/>
                <w:kern w:val="0"/>
                <w:sz w:val="24"/>
              </w:rPr>
              <w:t>5.数据安全态势感知：协助癌症中心对监测网数据安全情况进行定期汇总，向癌症中心输出数据安全态势汇报材料，材料展示内容包括风险事件态势、风险事件等级分布、发生风险资产TOP、风险账号top、实时风险事件详情、安全事件趋势等维度事项。</w:t>
            </w:r>
          </w:p>
          <w:p w14:paraId="6F870533">
            <w:pPr>
              <w:widowControl/>
              <w:jc w:val="left"/>
              <w:rPr>
                <w:rFonts w:hint="eastAsia" w:ascii="宋体" w:hAnsi="宋体" w:cs="宋体"/>
                <w:color w:val="000000"/>
                <w:kern w:val="0"/>
                <w:sz w:val="24"/>
              </w:rPr>
            </w:pPr>
            <w:r>
              <w:rPr>
                <w:rFonts w:hint="eastAsia" w:ascii="宋体" w:hAnsi="宋体" w:cs="宋体"/>
                <w:color w:val="000000"/>
                <w:kern w:val="0"/>
                <w:sz w:val="24"/>
              </w:rPr>
              <w:t>6.用户行为数据收集治理：协助癌症中心进行监测网日志信息采集并通过内容探查、手动解析Json、保存到schema、保存到元数据等方式对采集的监测网日志进行数据探查，整理日志中发现的用户行为数据，并根据数据源类型、元数据、数据资源、业务模块等几个维度来进行数据治理。</w:t>
            </w:r>
          </w:p>
        </w:tc>
      </w:tr>
      <w:bookmarkEnd w:id="0"/>
    </w:tbl>
    <w:p w14:paraId="78E1840B">
      <w:pPr>
        <w:pStyle w:val="7"/>
        <w:spacing w:line="360" w:lineRule="auto"/>
        <w:rPr>
          <w:rFonts w:ascii="Arial" w:hAnsi="Arial" w:cs="Arial"/>
        </w:rPr>
      </w:pPr>
    </w:p>
    <w:p w14:paraId="6882D6DD">
      <w:pPr>
        <w:pStyle w:val="5"/>
        <w:spacing w:before="120" w:after="120" w:line="360" w:lineRule="auto"/>
        <w:jc w:val="left"/>
        <w:rPr>
          <w:rFonts w:eastAsia="宋体" w:cs="Arial"/>
          <w:bCs/>
          <w:sz w:val="24"/>
          <w:szCs w:val="24"/>
        </w:rPr>
      </w:pPr>
      <w:r>
        <w:rPr>
          <w:rFonts w:hint="eastAsia" w:eastAsia="宋体" w:cs="Arial"/>
          <w:bCs/>
          <w:sz w:val="24"/>
          <w:szCs w:val="24"/>
        </w:rPr>
        <w:t>(2)数据安全评估支撑服务</w:t>
      </w:r>
    </w:p>
    <w:tbl>
      <w:tblPr>
        <w:tblStyle w:val="12"/>
        <w:tblW w:w="5000" w:type="pct"/>
        <w:tblInd w:w="0" w:type="dxa"/>
        <w:tblLayout w:type="autofit"/>
        <w:tblCellMar>
          <w:top w:w="0" w:type="dxa"/>
          <w:left w:w="108" w:type="dxa"/>
          <w:bottom w:w="0" w:type="dxa"/>
          <w:right w:w="108" w:type="dxa"/>
        </w:tblCellMar>
      </w:tblPr>
      <w:tblGrid>
        <w:gridCol w:w="1452"/>
        <w:gridCol w:w="7070"/>
      </w:tblGrid>
      <w:tr w14:paraId="0690FD00">
        <w:tblPrEx>
          <w:tblCellMar>
            <w:top w:w="0" w:type="dxa"/>
            <w:left w:w="108" w:type="dxa"/>
            <w:bottom w:w="0" w:type="dxa"/>
            <w:right w:w="108" w:type="dxa"/>
          </w:tblCellMar>
        </w:tblPrEx>
        <w:trPr>
          <w:trHeight w:val="315" w:hRule="atLeast"/>
        </w:trPr>
        <w:tc>
          <w:tcPr>
            <w:tcW w:w="852" w:type="pct"/>
            <w:tcBorders>
              <w:top w:val="single" w:color="auto" w:sz="4" w:space="0"/>
              <w:left w:val="single" w:color="auto" w:sz="4" w:space="0"/>
              <w:bottom w:val="single" w:color="auto" w:sz="4" w:space="0"/>
              <w:right w:val="single" w:color="auto" w:sz="4" w:space="0"/>
            </w:tcBorders>
            <w:vAlign w:val="center"/>
          </w:tcPr>
          <w:p w14:paraId="215094B5">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内容名称</w:t>
            </w:r>
          </w:p>
        </w:tc>
        <w:tc>
          <w:tcPr>
            <w:tcW w:w="4148" w:type="pct"/>
            <w:tcBorders>
              <w:top w:val="single" w:color="auto" w:sz="4" w:space="0"/>
              <w:left w:val="nil"/>
              <w:bottom w:val="single" w:color="auto" w:sz="4" w:space="0"/>
              <w:right w:val="single" w:color="auto" w:sz="4" w:space="0"/>
            </w:tcBorders>
            <w:vAlign w:val="center"/>
          </w:tcPr>
          <w:p w14:paraId="0E2DA74F">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内容具体要求</w:t>
            </w:r>
          </w:p>
        </w:tc>
      </w:tr>
      <w:tr w14:paraId="1D837992">
        <w:tblPrEx>
          <w:tblCellMar>
            <w:top w:w="0" w:type="dxa"/>
            <w:left w:w="108" w:type="dxa"/>
            <w:bottom w:w="0" w:type="dxa"/>
            <w:right w:w="108" w:type="dxa"/>
          </w:tblCellMar>
        </w:tblPrEx>
        <w:trPr>
          <w:trHeight w:val="1710" w:hRule="atLeast"/>
        </w:trPr>
        <w:tc>
          <w:tcPr>
            <w:tcW w:w="852" w:type="pct"/>
            <w:tcBorders>
              <w:top w:val="nil"/>
              <w:left w:val="single" w:color="auto" w:sz="4" w:space="0"/>
              <w:bottom w:val="single" w:color="auto" w:sz="4" w:space="0"/>
              <w:right w:val="single" w:color="auto" w:sz="4" w:space="0"/>
            </w:tcBorders>
            <w:vAlign w:val="center"/>
          </w:tcPr>
          <w:p w14:paraId="20821E5D">
            <w:pPr>
              <w:widowControl/>
              <w:jc w:val="center"/>
              <w:rPr>
                <w:rFonts w:hint="eastAsia" w:ascii="宋体" w:hAnsi="宋体" w:cs="宋体"/>
                <w:color w:val="000000"/>
                <w:kern w:val="0"/>
                <w:sz w:val="24"/>
              </w:rPr>
            </w:pPr>
            <w:r>
              <w:rPr>
                <w:rFonts w:hint="eastAsia" w:ascii="宋体" w:hAnsi="宋体" w:cs="宋体"/>
                <w:color w:val="000000"/>
                <w:kern w:val="0"/>
                <w:sz w:val="24"/>
              </w:rPr>
              <w:t>数据安全评估支撑服务</w:t>
            </w:r>
          </w:p>
        </w:tc>
        <w:tc>
          <w:tcPr>
            <w:tcW w:w="4148" w:type="pct"/>
            <w:tcBorders>
              <w:top w:val="nil"/>
              <w:left w:val="nil"/>
              <w:bottom w:val="single" w:color="auto" w:sz="4" w:space="0"/>
              <w:right w:val="single" w:color="auto" w:sz="4" w:space="0"/>
            </w:tcBorders>
            <w:vAlign w:val="center"/>
          </w:tcPr>
          <w:p w14:paraId="7A4B65E1">
            <w:pPr>
              <w:widowControl/>
              <w:numPr>
                <w:ilvl w:val="0"/>
                <w:numId w:val="1"/>
              </w:numPr>
              <w:jc w:val="left"/>
              <w:rPr>
                <w:rFonts w:hint="eastAsia" w:ascii="宋体" w:hAnsi="宋体" w:cs="宋体"/>
                <w:color w:val="000000"/>
                <w:kern w:val="0"/>
                <w:sz w:val="24"/>
              </w:rPr>
            </w:pPr>
            <w:r>
              <w:rPr>
                <w:rFonts w:hint="eastAsia" w:ascii="宋体" w:hAnsi="宋体" w:cs="宋体"/>
                <w:color w:val="000000"/>
                <w:kern w:val="0"/>
                <w:sz w:val="24"/>
              </w:rPr>
              <w:t>协助业务调研：协助癌症中心完成数据安全能力成熟度评估调研相关工作，以数据的全生命周期为各个安全过程域，从组织建设、制度流程、技术工具和人员能力四个维度对数据安全防护能力进行评估调研，协助全面了解目标单位及目标信息系统目前的数据安全管理运行现状。</w:t>
            </w:r>
          </w:p>
          <w:p w14:paraId="39906904">
            <w:pPr>
              <w:widowControl/>
              <w:numPr>
                <w:ilvl w:val="0"/>
                <w:numId w:val="1"/>
              </w:numPr>
              <w:jc w:val="left"/>
              <w:rPr>
                <w:rFonts w:hint="eastAsia" w:ascii="宋体" w:hAnsi="宋体" w:cs="宋体"/>
                <w:color w:val="000000"/>
                <w:kern w:val="0"/>
                <w:sz w:val="24"/>
              </w:rPr>
            </w:pPr>
            <w:r>
              <w:rPr>
                <w:rFonts w:hint="eastAsia" w:ascii="宋体" w:hAnsi="宋体" w:cs="宋体"/>
                <w:color w:val="000000"/>
                <w:kern w:val="0"/>
                <w:sz w:val="24"/>
              </w:rPr>
              <w:t>评估目标确定：基于业务实际情况，确定数据安全能力成熟度目标等级。数据安全能力成熟度评估服务开展将根据确定的DSMM 等级相关标准，选取适用的安全过程域，作为前期调研评估的方向，进行安全能力评估。</w:t>
            </w:r>
          </w:p>
          <w:p w14:paraId="74199717">
            <w:pPr>
              <w:widowControl/>
              <w:numPr>
                <w:ilvl w:val="0"/>
                <w:numId w:val="1"/>
              </w:numPr>
              <w:jc w:val="left"/>
              <w:rPr>
                <w:rFonts w:hint="eastAsia" w:ascii="宋体" w:hAnsi="宋体" w:cs="宋体"/>
                <w:color w:val="000000"/>
                <w:kern w:val="0"/>
                <w:sz w:val="24"/>
              </w:rPr>
            </w:pPr>
            <w:r>
              <w:rPr>
                <w:rFonts w:hint="eastAsia" w:ascii="宋体" w:hAnsi="宋体" w:cs="宋体"/>
                <w:color w:val="000000"/>
                <w:kern w:val="0"/>
                <w:sz w:val="24"/>
              </w:rPr>
              <w:t>调研表设计：根据《中华人民共和国网络安全法》、《中华人民共和国数据安全法》、《中华人民共和国个人信息保护法》《信息安全技术 数据安全能力成熟度模型》相关法律法规和医疗行业特点，分析目标单位和目标业务系统用户实际情况，制定详细业务调研表、过程域调研表等。</w:t>
            </w:r>
          </w:p>
          <w:p w14:paraId="14C648FD">
            <w:pPr>
              <w:widowControl/>
              <w:numPr>
                <w:ilvl w:val="0"/>
                <w:numId w:val="1"/>
              </w:numPr>
              <w:jc w:val="left"/>
              <w:rPr>
                <w:rFonts w:hint="eastAsia" w:ascii="宋体" w:hAnsi="宋体" w:cs="宋体"/>
                <w:color w:val="000000"/>
                <w:kern w:val="0"/>
                <w:sz w:val="24"/>
              </w:rPr>
            </w:pPr>
            <w:r>
              <w:rPr>
                <w:rFonts w:hint="eastAsia" w:ascii="宋体" w:hAnsi="宋体" w:cs="宋体"/>
                <w:color w:val="000000"/>
                <w:kern w:val="0"/>
                <w:sz w:val="24"/>
              </w:rPr>
              <w:t>成熟度等级评定：采用“木桶效应”的等级评定方法（组织机构整体的能力成熟度取决于各项数据安全规程域的能力成熟度级别中的最低级别，所有的数据安全能力的成熟度都达到确定的等级及以上时，组织的大数据安全能力成熟度级别方可通过对应的级别）对目标系统展开数据安全能力成熟度评估。</w:t>
            </w:r>
          </w:p>
          <w:p w14:paraId="15EAE0AA">
            <w:pPr>
              <w:widowControl/>
              <w:numPr>
                <w:ilvl w:val="0"/>
                <w:numId w:val="1"/>
              </w:numPr>
              <w:jc w:val="left"/>
              <w:rPr>
                <w:rFonts w:hint="eastAsia" w:ascii="宋体" w:hAnsi="宋体" w:cs="宋体"/>
                <w:color w:val="000000"/>
                <w:kern w:val="0"/>
                <w:sz w:val="24"/>
              </w:rPr>
            </w:pPr>
            <w:r>
              <w:rPr>
                <w:rFonts w:hint="eastAsia" w:ascii="宋体" w:hAnsi="宋体" w:cs="宋体"/>
                <w:color w:val="000000"/>
                <w:kern w:val="0"/>
                <w:sz w:val="24"/>
              </w:rPr>
              <w:t>过程域调研：协助癌症中心完成过程域调研与数据安全能力成熟度模型的评估相关工作，调研内容包括安全过程域调研计划梳理、各过程域的现状梳理、关键过程域对焦、关键业务及涉及数据、信息系统、部门人员情况等。</w:t>
            </w:r>
          </w:p>
          <w:p w14:paraId="6EB9898F">
            <w:pPr>
              <w:widowControl/>
              <w:numPr>
                <w:ilvl w:val="0"/>
                <w:numId w:val="1"/>
              </w:numPr>
              <w:jc w:val="left"/>
            </w:pPr>
            <w:r>
              <w:rPr>
                <w:rFonts w:hint="eastAsia" w:ascii="宋体" w:hAnsi="宋体" w:cs="宋体"/>
                <w:color w:val="000000"/>
                <w:kern w:val="0"/>
                <w:sz w:val="24"/>
              </w:rPr>
              <w:t>过程域差距分析：协助癌症中心完成针对目标单位及业务系统的过程域差距分析工作。数据安全能力从组织建设、人员能力、制度流程及技术工具四个维度展开。通过对数据采集、传输、存储、处理、交换、销毁安全过程所需具备安全能力的量化评估，评估组织在每项安全过程的实现能力的级别。</w:t>
            </w:r>
          </w:p>
          <w:p w14:paraId="5EDF2ECE">
            <w:pPr>
              <w:widowControl/>
              <w:numPr>
                <w:ilvl w:val="0"/>
                <w:numId w:val="1"/>
              </w:numPr>
              <w:jc w:val="left"/>
            </w:pPr>
            <w:r>
              <w:rPr>
                <w:rFonts w:hint="eastAsia" w:ascii="宋体" w:hAnsi="宋体" w:cs="宋体"/>
                <w:color w:val="000000"/>
                <w:kern w:val="0"/>
                <w:sz w:val="24"/>
              </w:rPr>
              <w:t>分析和报告编写：协助癌症中心基于评估过程的相关材料，编制数据安全能力成熟度DSMM 3级相关评估报告，并参照数据安全能力成熟度模型标准，协助目标单位及业务系统制定有针对性的数据安全改进方案及整体提升计划，指导目标单位及业务系统后期数据安全建设的方向。</w:t>
            </w:r>
          </w:p>
          <w:p w14:paraId="6AE05F0F">
            <w:pPr>
              <w:widowControl/>
              <w:numPr>
                <w:ilvl w:val="0"/>
                <w:numId w:val="1"/>
              </w:numPr>
              <w:jc w:val="left"/>
              <w:rPr>
                <w:rFonts w:ascii="宋体" w:hAnsi="宋体" w:cs="宋体"/>
                <w:color w:val="000000"/>
                <w:kern w:val="0"/>
                <w:sz w:val="24"/>
              </w:rPr>
            </w:pPr>
            <w:r>
              <w:rPr>
                <w:rFonts w:hint="eastAsia" w:ascii="宋体" w:hAnsi="宋体" w:cs="宋体"/>
                <w:color w:val="000000"/>
                <w:kern w:val="0"/>
                <w:sz w:val="24"/>
              </w:rPr>
              <w:t>数据安全能力成熟度DSMM 3级整改：协助癌症中心基于完成的数据安全能力成熟度DSMM 3级评估报告所识别出的各种不合规项，为目标单位及业务系统提供专业指导和协助以进行必要的整改工作，以确保符合数据安全能力成熟度DSMM 3级评估合规要求。</w:t>
            </w:r>
          </w:p>
          <w:p w14:paraId="66B264DB">
            <w:pPr>
              <w:widowControl/>
              <w:numPr>
                <w:ilvl w:val="0"/>
                <w:numId w:val="1"/>
              </w:numPr>
              <w:jc w:val="left"/>
              <w:rPr>
                <w:rFonts w:hint="eastAsia" w:ascii="宋体" w:hAnsi="宋体" w:cs="宋体"/>
                <w:color w:val="000000"/>
                <w:kern w:val="0"/>
                <w:sz w:val="24"/>
              </w:rPr>
            </w:pPr>
            <w:r>
              <w:rPr>
                <w:rFonts w:hint="eastAsia" w:ascii="宋体" w:hAnsi="宋体" w:cs="宋体"/>
                <w:color w:val="000000"/>
                <w:kern w:val="0"/>
                <w:sz w:val="24"/>
              </w:rPr>
              <w:t>管理规范及安全审计支撑：协助</w:t>
            </w:r>
            <w:bookmarkStart w:id="1" w:name="_GoBack"/>
            <w:bookmarkEnd w:id="1"/>
            <w:r>
              <w:rPr>
                <w:rFonts w:hint="eastAsia" w:ascii="宋体" w:hAnsi="宋体" w:cs="宋体"/>
                <w:color w:val="000000"/>
                <w:kern w:val="0"/>
                <w:sz w:val="24"/>
              </w:rPr>
              <w:t>癌症中心制定数据要素流通数据安全管理规范；协助支持安全审计项目相关技术指导与问题整改支持工作</w:t>
            </w:r>
            <w:r>
              <w:rPr>
                <w:rFonts w:hint="eastAsia" w:ascii="宋体" w:hAnsi="宋体" w:cs="宋体"/>
                <w:color w:val="000000"/>
                <w:kern w:val="0"/>
                <w:sz w:val="24"/>
                <w:lang w:eastAsia="zh-CN"/>
              </w:rPr>
              <w:t>。</w:t>
            </w:r>
          </w:p>
        </w:tc>
      </w:tr>
    </w:tbl>
    <w:p w14:paraId="1D267820">
      <w:pPr>
        <w:spacing w:line="360" w:lineRule="auto"/>
        <w:jc w:val="left"/>
        <w:rPr>
          <w:rFonts w:ascii="Arial" w:hAnsi="Arial" w:cs="Arial"/>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A31D"/>
    <w:multiLevelType w:val="singleLevel"/>
    <w:tmpl w:val="FBFDA31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36947"/>
    <w:rsid w:val="00015945"/>
    <w:rsid w:val="00024963"/>
    <w:rsid w:val="000271DC"/>
    <w:rsid w:val="0003486A"/>
    <w:rsid w:val="00055D70"/>
    <w:rsid w:val="00056D60"/>
    <w:rsid w:val="000775B3"/>
    <w:rsid w:val="00082B8F"/>
    <w:rsid w:val="00096A42"/>
    <w:rsid w:val="000C5998"/>
    <w:rsid w:val="000E1F34"/>
    <w:rsid w:val="00104ED3"/>
    <w:rsid w:val="00112967"/>
    <w:rsid w:val="0012145D"/>
    <w:rsid w:val="00133A91"/>
    <w:rsid w:val="0014116B"/>
    <w:rsid w:val="0016216C"/>
    <w:rsid w:val="001D7D41"/>
    <w:rsid w:val="001E138C"/>
    <w:rsid w:val="001E3E8D"/>
    <w:rsid w:val="001E57EB"/>
    <w:rsid w:val="001F45D0"/>
    <w:rsid w:val="00202C11"/>
    <w:rsid w:val="002244F2"/>
    <w:rsid w:val="00230C54"/>
    <w:rsid w:val="00280E75"/>
    <w:rsid w:val="002943C9"/>
    <w:rsid w:val="002B002B"/>
    <w:rsid w:val="002E2A8F"/>
    <w:rsid w:val="002E6600"/>
    <w:rsid w:val="002F0AB3"/>
    <w:rsid w:val="0030102E"/>
    <w:rsid w:val="003057B8"/>
    <w:rsid w:val="00315884"/>
    <w:rsid w:val="00327A02"/>
    <w:rsid w:val="00337D2A"/>
    <w:rsid w:val="003531E2"/>
    <w:rsid w:val="00393103"/>
    <w:rsid w:val="003945FA"/>
    <w:rsid w:val="003B5B64"/>
    <w:rsid w:val="003C7600"/>
    <w:rsid w:val="003D409A"/>
    <w:rsid w:val="003F5631"/>
    <w:rsid w:val="00424BE2"/>
    <w:rsid w:val="00444A9E"/>
    <w:rsid w:val="00446C9C"/>
    <w:rsid w:val="004505C4"/>
    <w:rsid w:val="00456B77"/>
    <w:rsid w:val="00464F40"/>
    <w:rsid w:val="004B3469"/>
    <w:rsid w:val="004F71BE"/>
    <w:rsid w:val="005628C4"/>
    <w:rsid w:val="005A0159"/>
    <w:rsid w:val="005A2D11"/>
    <w:rsid w:val="005B466B"/>
    <w:rsid w:val="005D1EA1"/>
    <w:rsid w:val="0063248D"/>
    <w:rsid w:val="00636526"/>
    <w:rsid w:val="0064685A"/>
    <w:rsid w:val="006530C4"/>
    <w:rsid w:val="006759C4"/>
    <w:rsid w:val="006965C8"/>
    <w:rsid w:val="006A006F"/>
    <w:rsid w:val="006A161D"/>
    <w:rsid w:val="006B562D"/>
    <w:rsid w:val="006C47D5"/>
    <w:rsid w:val="006D02A3"/>
    <w:rsid w:val="006E4D1F"/>
    <w:rsid w:val="00726C44"/>
    <w:rsid w:val="00736884"/>
    <w:rsid w:val="00746F99"/>
    <w:rsid w:val="00755580"/>
    <w:rsid w:val="00760A22"/>
    <w:rsid w:val="00760CA0"/>
    <w:rsid w:val="00771EBD"/>
    <w:rsid w:val="0077368A"/>
    <w:rsid w:val="007918A7"/>
    <w:rsid w:val="008035B6"/>
    <w:rsid w:val="00842479"/>
    <w:rsid w:val="00867BBE"/>
    <w:rsid w:val="00882467"/>
    <w:rsid w:val="008A7EBC"/>
    <w:rsid w:val="008B1028"/>
    <w:rsid w:val="008D225F"/>
    <w:rsid w:val="008D6E58"/>
    <w:rsid w:val="008E3C30"/>
    <w:rsid w:val="008E5EE4"/>
    <w:rsid w:val="009177B6"/>
    <w:rsid w:val="00943D29"/>
    <w:rsid w:val="00954FC5"/>
    <w:rsid w:val="00955864"/>
    <w:rsid w:val="00961797"/>
    <w:rsid w:val="00997EAB"/>
    <w:rsid w:val="009E37DA"/>
    <w:rsid w:val="00A05117"/>
    <w:rsid w:val="00A2109F"/>
    <w:rsid w:val="00A303CF"/>
    <w:rsid w:val="00A57B66"/>
    <w:rsid w:val="00A648DB"/>
    <w:rsid w:val="00A674F7"/>
    <w:rsid w:val="00A72E18"/>
    <w:rsid w:val="00A8050C"/>
    <w:rsid w:val="00A81097"/>
    <w:rsid w:val="00A81311"/>
    <w:rsid w:val="00AB2B0C"/>
    <w:rsid w:val="00B11E0E"/>
    <w:rsid w:val="00B1589C"/>
    <w:rsid w:val="00B17022"/>
    <w:rsid w:val="00B9175A"/>
    <w:rsid w:val="00B921D8"/>
    <w:rsid w:val="00BA40C5"/>
    <w:rsid w:val="00BA74DA"/>
    <w:rsid w:val="00BE048C"/>
    <w:rsid w:val="00BF55EC"/>
    <w:rsid w:val="00C32DEB"/>
    <w:rsid w:val="00C614EE"/>
    <w:rsid w:val="00D02635"/>
    <w:rsid w:val="00D466C4"/>
    <w:rsid w:val="00D700BF"/>
    <w:rsid w:val="00D76031"/>
    <w:rsid w:val="00DB571E"/>
    <w:rsid w:val="00DB5F5A"/>
    <w:rsid w:val="00DD58AE"/>
    <w:rsid w:val="00E13F93"/>
    <w:rsid w:val="00E151FC"/>
    <w:rsid w:val="00E31019"/>
    <w:rsid w:val="00E703E8"/>
    <w:rsid w:val="00E74047"/>
    <w:rsid w:val="00E769CA"/>
    <w:rsid w:val="00E94CBA"/>
    <w:rsid w:val="00EA6EEF"/>
    <w:rsid w:val="00EB696B"/>
    <w:rsid w:val="00EC6BB1"/>
    <w:rsid w:val="00F06C68"/>
    <w:rsid w:val="00F31AB5"/>
    <w:rsid w:val="00F32CDF"/>
    <w:rsid w:val="00F4017A"/>
    <w:rsid w:val="00F4317D"/>
    <w:rsid w:val="00F65BB8"/>
    <w:rsid w:val="00F66029"/>
    <w:rsid w:val="00FA343A"/>
    <w:rsid w:val="00FE3E73"/>
    <w:rsid w:val="00FF594C"/>
    <w:rsid w:val="19CC6E08"/>
    <w:rsid w:val="1C2C773A"/>
    <w:rsid w:val="1CB62E5A"/>
    <w:rsid w:val="1E936947"/>
    <w:rsid w:val="3219597B"/>
    <w:rsid w:val="35FB34EC"/>
    <w:rsid w:val="38AC16B5"/>
    <w:rsid w:val="545168B9"/>
    <w:rsid w:val="7F0453AF"/>
    <w:rsid w:val="7F14099C"/>
    <w:rsid w:val="7F69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link w:val="21"/>
    <w:qFormat/>
    <w:uiPriority w:val="0"/>
    <w:pPr>
      <w:jc w:val="left"/>
    </w:p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6"/>
    <w:next w:val="6"/>
    <w:link w:val="22"/>
    <w:qFormat/>
    <w:uiPriority w:val="0"/>
    <w:rPr>
      <w:b/>
      <w:bCs/>
    </w:rPr>
  </w:style>
  <w:style w:type="character" w:styleId="14">
    <w:name w:val="annotation reference"/>
    <w:basedOn w:val="13"/>
    <w:qFormat/>
    <w:uiPriority w:val="0"/>
    <w:rPr>
      <w:sz w:val="21"/>
      <w:szCs w:val="21"/>
    </w:rPr>
  </w:style>
  <w:style w:type="paragraph" w:customStyle="1" w:styleId="15">
    <w:name w:val="列表段落1"/>
    <w:basedOn w:val="1"/>
    <w:qFormat/>
    <w:uiPriority w:val="34"/>
    <w:pPr>
      <w:ind w:firstLine="420" w:firstLineChars="200"/>
    </w:pPr>
    <w:rPr>
      <w:rFonts w:ascii="Calibri" w:hAnsi="Calibri"/>
      <w:szCs w:val="22"/>
    </w:rPr>
  </w:style>
  <w:style w:type="paragraph" w:customStyle="1" w:styleId="16">
    <w:name w:val="_Style 579"/>
    <w:basedOn w:val="1"/>
    <w:next w:val="17"/>
    <w:qFormat/>
    <w:uiPriority w:val="34"/>
    <w:pPr>
      <w:ind w:firstLine="420" w:firstLineChars="200"/>
    </w:pPr>
    <w:rPr>
      <w:rFonts w:ascii="Calibri" w:hAnsi="Calibri"/>
      <w:szCs w:val="22"/>
    </w:rPr>
  </w:style>
  <w:style w:type="paragraph" w:styleId="17">
    <w:name w:val="List Paragraph"/>
    <w:basedOn w:val="1"/>
    <w:unhideWhenUsed/>
    <w:qFormat/>
    <w:uiPriority w:val="99"/>
    <w:pPr>
      <w:ind w:firstLine="420" w:firstLineChars="200"/>
    </w:pPr>
  </w:style>
  <w:style w:type="paragraph" w:customStyle="1" w:styleId="18">
    <w:name w:val="_Style 575"/>
    <w:basedOn w:val="1"/>
    <w:next w:val="17"/>
    <w:qFormat/>
    <w:uiPriority w:val="34"/>
    <w:pPr>
      <w:ind w:firstLine="420" w:firstLineChars="200"/>
    </w:pPr>
    <w:rPr>
      <w:rFonts w:ascii="Calibri" w:hAnsi="Calibri"/>
      <w:szCs w:val="22"/>
    </w:rPr>
  </w:style>
  <w:style w:type="character" w:customStyle="1" w:styleId="19">
    <w:name w:val="页眉 字符"/>
    <w:basedOn w:val="13"/>
    <w:link w:val="9"/>
    <w:qFormat/>
    <w:uiPriority w:val="0"/>
    <w:rPr>
      <w:rFonts w:ascii="Times New Roman" w:hAnsi="Times New Roman" w:eastAsia="宋体" w:cs="Times New Roman"/>
      <w:kern w:val="2"/>
      <w:sz w:val="18"/>
      <w:szCs w:val="18"/>
    </w:rPr>
  </w:style>
  <w:style w:type="character" w:customStyle="1" w:styleId="20">
    <w:name w:val="页脚 字符"/>
    <w:basedOn w:val="13"/>
    <w:link w:val="8"/>
    <w:qFormat/>
    <w:uiPriority w:val="0"/>
    <w:rPr>
      <w:rFonts w:ascii="Times New Roman" w:hAnsi="Times New Roman" w:eastAsia="宋体" w:cs="Times New Roman"/>
      <w:kern w:val="2"/>
      <w:sz w:val="18"/>
      <w:szCs w:val="18"/>
    </w:rPr>
  </w:style>
  <w:style w:type="character" w:customStyle="1" w:styleId="21">
    <w:name w:val="批注文字 字符"/>
    <w:basedOn w:val="13"/>
    <w:link w:val="6"/>
    <w:qFormat/>
    <w:uiPriority w:val="0"/>
    <w:rPr>
      <w:rFonts w:ascii="Times New Roman" w:hAnsi="Times New Roman" w:eastAsia="宋体" w:cs="Times New Roman"/>
      <w:kern w:val="2"/>
      <w:sz w:val="21"/>
      <w:szCs w:val="24"/>
    </w:rPr>
  </w:style>
  <w:style w:type="character" w:customStyle="1" w:styleId="22">
    <w:name w:val="批注主题 字符"/>
    <w:basedOn w:val="21"/>
    <w:link w:val="11"/>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44DC-D336-4F1C-AF4C-6027C102E9F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1930</Words>
  <Characters>1996</Characters>
  <Lines>54</Lines>
  <Paragraphs>36</Paragraphs>
  <TotalTime>101</TotalTime>
  <ScaleCrop>false</ScaleCrop>
  <LinksUpToDate>false</LinksUpToDate>
  <CharactersWithSpaces>2002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2025-08-06T07:51:00Z</dcterms:created>
  <dc:creator>尘埃落定</dc:creator>
  <cp:lastModifiedBy>YangJuan</cp:lastModifiedBy>
  <dcterms:modified xsi:type="dcterms:W3CDTF">2025-08-11T07:09:22Z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EB7BFD41C85F41F2BFA4570FC4C7822D_11</vt:lpwstr>
  </property>
  <property fmtid="{D5CDD505-2E9C-101B-9397-08002B2CF9AE}" pid="4" name="KSOTemplateDocerSaveRecord">
    <vt:lpwstr>eyJoZGlkIjoiNzRmZTUwZWRjNTcyMjcxZjVkMTk3YWQ1YjU2MDQzYWEiLCJ1c2VySWQiOiI0MjMyNTI1MTEifQ==</vt:lpwstr>
  </property>
</Properties>
</file>