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9A" w:rsidRDefault="00040202">
      <w:pPr>
        <w:jc w:val="center"/>
        <w:rPr>
          <w:rFonts w:ascii="宋体" w:hAnsi="宋体" w:cs="宋体"/>
          <w:b/>
          <w:bCs/>
          <w:sz w:val="28"/>
          <w:szCs w:val="28"/>
        </w:rPr>
      </w:pPr>
      <w:bookmarkStart w:id="0" w:name="_Toc5305567"/>
      <w:bookmarkStart w:id="1" w:name="_Toc22879"/>
      <w:bookmarkStart w:id="2" w:name="_Toc17388"/>
      <w:r>
        <w:rPr>
          <w:rFonts w:ascii="宋体" w:hAnsi="宋体" w:cs="宋体"/>
          <w:b/>
          <w:bCs/>
          <w:sz w:val="28"/>
          <w:szCs w:val="28"/>
        </w:rPr>
        <w:t>国家癌症中心</w:t>
      </w:r>
    </w:p>
    <w:p w:rsidR="00F1489A" w:rsidRDefault="00040202">
      <w:pPr>
        <w:jc w:val="center"/>
        <w:rPr>
          <w:rFonts w:ascii="宋体" w:hAnsi="宋体" w:cs="宋体"/>
          <w:b/>
          <w:bCs/>
          <w:sz w:val="28"/>
          <w:szCs w:val="28"/>
        </w:rPr>
      </w:pPr>
      <w:r>
        <w:rPr>
          <w:rFonts w:ascii="宋体" w:hAnsi="宋体" w:cs="宋体"/>
          <w:b/>
          <w:bCs/>
          <w:sz w:val="28"/>
          <w:szCs w:val="28"/>
        </w:rPr>
        <w:t>全国抗肿瘤药物</w:t>
      </w:r>
      <w:r w:rsidR="00313255">
        <w:rPr>
          <w:rFonts w:ascii="宋体" w:hAnsi="宋体" w:cs="宋体"/>
          <w:b/>
          <w:bCs/>
          <w:sz w:val="28"/>
          <w:szCs w:val="28"/>
        </w:rPr>
        <w:t>临床</w:t>
      </w:r>
      <w:bookmarkStart w:id="3" w:name="_GoBack"/>
      <w:bookmarkEnd w:id="3"/>
      <w:r w:rsidR="00313255">
        <w:rPr>
          <w:rFonts w:ascii="宋体" w:hAnsi="宋体" w:cs="宋体"/>
          <w:b/>
          <w:bCs/>
          <w:sz w:val="28"/>
          <w:szCs w:val="28"/>
        </w:rPr>
        <w:t>应用</w:t>
      </w:r>
      <w:r>
        <w:rPr>
          <w:rFonts w:ascii="宋体" w:hAnsi="宋体" w:cs="宋体"/>
          <w:b/>
          <w:bCs/>
          <w:sz w:val="28"/>
          <w:szCs w:val="28"/>
        </w:rPr>
        <w:t>监测网</w:t>
      </w:r>
      <w:r>
        <w:rPr>
          <w:rFonts w:ascii="宋体" w:hAnsi="宋体" w:cs="宋体" w:hint="eastAsia"/>
          <w:b/>
          <w:bCs/>
          <w:sz w:val="28"/>
          <w:szCs w:val="28"/>
        </w:rPr>
        <w:t>等保测评和安全加固服务</w:t>
      </w:r>
    </w:p>
    <w:p w:rsidR="00F1489A" w:rsidRDefault="00040202">
      <w:pPr>
        <w:jc w:val="center"/>
        <w:rPr>
          <w:rFonts w:ascii="宋体" w:hAnsi="宋体" w:cs="宋体"/>
          <w:b/>
          <w:bCs/>
          <w:sz w:val="28"/>
          <w:szCs w:val="28"/>
        </w:rPr>
      </w:pPr>
      <w:r>
        <w:rPr>
          <w:rFonts w:ascii="宋体" w:hAnsi="宋体" w:cs="宋体" w:hint="eastAsia"/>
          <w:b/>
          <w:bCs/>
          <w:sz w:val="28"/>
          <w:szCs w:val="28"/>
        </w:rPr>
        <w:t>技术需求书</w:t>
      </w:r>
      <w:bookmarkStart w:id="4" w:name="_Hlt42540685"/>
      <w:bookmarkStart w:id="5" w:name="_Hlt42539152"/>
      <w:bookmarkStart w:id="6" w:name="_Hlt42618675"/>
      <w:bookmarkEnd w:id="0"/>
      <w:bookmarkEnd w:id="1"/>
      <w:bookmarkEnd w:id="2"/>
      <w:bookmarkEnd w:id="4"/>
      <w:bookmarkEnd w:id="5"/>
      <w:bookmarkEnd w:id="6"/>
    </w:p>
    <w:p w:rsidR="00F1489A" w:rsidRDefault="00040202">
      <w:pPr>
        <w:pStyle w:val="2"/>
        <w:spacing w:before="0" w:after="0" w:line="360" w:lineRule="auto"/>
        <w:rPr>
          <w:rFonts w:ascii="宋体" w:hAnsi="宋体" w:cs="宋体"/>
          <w:color w:val="000000"/>
          <w:kern w:val="2"/>
          <w:sz w:val="24"/>
          <w:szCs w:val="24"/>
        </w:rPr>
      </w:pPr>
      <w:bookmarkStart w:id="7" w:name="_Toc446571463"/>
      <w:r>
        <w:rPr>
          <w:rFonts w:ascii="宋体" w:hAnsi="宋体" w:cs="宋体" w:hint="eastAsia"/>
          <w:color w:val="000000"/>
          <w:kern w:val="2"/>
          <w:sz w:val="24"/>
          <w:szCs w:val="24"/>
        </w:rPr>
        <w:t>1.</w:t>
      </w:r>
      <w:bookmarkEnd w:id="7"/>
      <w:r>
        <w:rPr>
          <w:rFonts w:ascii="宋体" w:hAnsi="宋体" w:cs="宋体" w:hint="eastAsia"/>
          <w:color w:val="000000"/>
          <w:kern w:val="2"/>
          <w:sz w:val="24"/>
          <w:szCs w:val="24"/>
        </w:rPr>
        <w:t>项目服务原则</w:t>
      </w:r>
    </w:p>
    <w:p w:rsidR="00F1489A" w:rsidRDefault="00040202">
      <w:pPr>
        <w:ind w:firstLine="480"/>
        <w:rPr>
          <w:rFonts w:ascii="宋体" w:hAnsi="宋体" w:cs="宋体"/>
          <w:sz w:val="24"/>
          <w:szCs w:val="24"/>
        </w:rPr>
      </w:pPr>
      <w:r>
        <w:rPr>
          <w:rFonts w:ascii="宋体" w:hAnsi="宋体" w:cs="宋体" w:hint="eastAsia"/>
          <w:b/>
          <w:sz w:val="24"/>
          <w:szCs w:val="24"/>
        </w:rPr>
        <w:t>（一）安全保密原则</w:t>
      </w:r>
      <w:r>
        <w:rPr>
          <w:rFonts w:ascii="宋体" w:hAnsi="宋体" w:cs="宋体" w:hint="eastAsia"/>
          <w:sz w:val="24"/>
          <w:szCs w:val="24"/>
        </w:rPr>
        <w:t>。投标人在提供安全服务的过程中，要严格遵守合同规定，执行国家《保密法》及有关保密的法律法规，服务过程中凡是涉及到的任何用户信息均属保密信息，不得泄露给第三方单位或个人，不得利用这些信息损害用户利益。</w:t>
      </w:r>
    </w:p>
    <w:p w:rsidR="00F1489A" w:rsidRDefault="00040202">
      <w:pPr>
        <w:ind w:firstLine="480"/>
        <w:rPr>
          <w:rFonts w:ascii="宋体" w:hAnsi="宋体" w:cs="宋体"/>
          <w:sz w:val="24"/>
          <w:szCs w:val="24"/>
        </w:rPr>
      </w:pPr>
      <w:r>
        <w:rPr>
          <w:rFonts w:ascii="宋体" w:hAnsi="宋体" w:cs="宋体" w:hint="eastAsia"/>
          <w:b/>
          <w:sz w:val="24"/>
          <w:szCs w:val="24"/>
        </w:rPr>
        <w:t>（二）最小影响原则</w:t>
      </w:r>
      <w:r>
        <w:rPr>
          <w:rFonts w:ascii="宋体" w:hAnsi="宋体" w:cs="宋体" w:hint="eastAsia"/>
          <w:sz w:val="24"/>
          <w:szCs w:val="24"/>
        </w:rPr>
        <w:t>。投标人开展的安全服务工作，要尽可能小的影响系统和网络的正常运行，不能对业务的正常运行产生显著影响（包括系统性能明显下降、网络阻塞、服务中断等），如不可抗力无法避免，应对风险进行说明。</w:t>
      </w:r>
    </w:p>
    <w:p w:rsidR="00F1489A" w:rsidRDefault="00040202">
      <w:pPr>
        <w:ind w:firstLine="480"/>
        <w:rPr>
          <w:rFonts w:ascii="宋体" w:hAnsi="宋体" w:cs="宋体"/>
          <w:sz w:val="24"/>
          <w:szCs w:val="24"/>
        </w:rPr>
      </w:pPr>
      <w:r>
        <w:rPr>
          <w:rFonts w:ascii="宋体" w:hAnsi="宋体" w:cs="宋体" w:hint="eastAsia"/>
          <w:b/>
          <w:sz w:val="24"/>
          <w:szCs w:val="24"/>
        </w:rPr>
        <w:t>（三）规范性原则</w:t>
      </w:r>
      <w:r>
        <w:rPr>
          <w:rFonts w:ascii="宋体" w:hAnsi="宋体" w:cs="宋体" w:hint="eastAsia"/>
          <w:sz w:val="24"/>
          <w:szCs w:val="24"/>
        </w:rPr>
        <w:t>。投标人开展的安全服务工作，要由专业的安全服务人员依照规范的操作流程进行，对操作过程和结果要有相应的记录，提供完整的服务报告。</w:t>
      </w:r>
    </w:p>
    <w:p w:rsidR="00F1489A" w:rsidRDefault="00040202">
      <w:pPr>
        <w:ind w:firstLine="480"/>
        <w:rPr>
          <w:rFonts w:ascii="宋体" w:hAnsi="宋体" w:cs="宋体"/>
          <w:sz w:val="24"/>
          <w:szCs w:val="24"/>
        </w:rPr>
      </w:pPr>
      <w:r>
        <w:rPr>
          <w:rFonts w:ascii="宋体" w:hAnsi="宋体" w:cs="宋体" w:hint="eastAsia"/>
          <w:b/>
          <w:sz w:val="24"/>
          <w:szCs w:val="24"/>
        </w:rPr>
        <w:t>（四）可控性原则</w:t>
      </w:r>
      <w:r>
        <w:rPr>
          <w:rFonts w:ascii="宋体" w:hAnsi="宋体" w:cs="宋体" w:hint="eastAsia"/>
          <w:sz w:val="24"/>
          <w:szCs w:val="24"/>
        </w:rPr>
        <w:t>。投标人在开展安全服务工作过程中采用的工具、方法和过程要在双方认可的范围之内，保证用户对于服务过程的可控性。</w:t>
      </w:r>
    </w:p>
    <w:p w:rsidR="00F1489A" w:rsidRDefault="00040202">
      <w:pPr>
        <w:ind w:firstLine="480"/>
        <w:rPr>
          <w:rFonts w:ascii="宋体" w:hAnsi="宋体" w:cs="宋体"/>
          <w:sz w:val="24"/>
          <w:szCs w:val="24"/>
        </w:rPr>
      </w:pPr>
      <w:r>
        <w:rPr>
          <w:rFonts w:ascii="宋体" w:hAnsi="宋体" w:cs="宋体" w:hint="eastAsia"/>
          <w:b/>
          <w:sz w:val="24"/>
          <w:szCs w:val="24"/>
        </w:rPr>
        <w:t>（五）质量保障原则</w:t>
      </w:r>
      <w:r>
        <w:rPr>
          <w:rFonts w:ascii="宋体" w:hAnsi="宋体" w:cs="宋体" w:hint="eastAsia"/>
          <w:sz w:val="24"/>
          <w:szCs w:val="24"/>
        </w:rPr>
        <w:t>。投标人开展的安全服务工作需特别重视项目质量管理，项目的实施需严格按照项目实施方案和流程进行，并由项目协调小组从中监督、控制项目的进度和质量。</w:t>
      </w:r>
    </w:p>
    <w:p w:rsidR="00F1489A" w:rsidRDefault="00040202">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2</w:t>
      </w:r>
      <w:r>
        <w:rPr>
          <w:rFonts w:ascii="宋体" w:hAnsi="宋体" w:cs="宋体" w:hint="eastAsia"/>
          <w:color w:val="000000"/>
          <w:kern w:val="2"/>
          <w:sz w:val="24"/>
          <w:szCs w:val="24"/>
        </w:rPr>
        <w:t>.具体采购内容</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（一）网络安全等级保护测评</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1.现状调研主要内容包括：收集整理系统配置、部署、业务运行模式、网络拓扑结构、技术架构、运行环境（周边控制、安全措施）以及信息安全策略等技术方案；开展调查和现场访谈，对系统信息（包括：主机、数据库、网络设备、系统软件、中间件、安全设备等）进行记录，将所有与信息系统有关的信息资产进行核查备案。成果输出：《信息系统基础调研表》。</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2.差距分析依据GB/T 22239-2019《信息安全技术 网络安全等级保护基本要求》规定的相关条款以及相关监管要求等内容，对系统的安全物理环境、安全</w:t>
      </w:r>
      <w:r>
        <w:rPr>
          <w:rFonts w:ascii="宋体" w:hAnsi="宋体" w:cs="宋体" w:hint="eastAsia"/>
          <w:sz w:val="24"/>
          <w:szCs w:val="24"/>
        </w:rPr>
        <w:lastRenderedPageBreak/>
        <w:t>通信网络、安全通信边界、安全计算环境、安全管理中心、安全管理制度、安全管理组织、安全管理人员、安全建设管理、安全运维管理十个层面进行差距分析，并结合漏洞扫描和渗透测试结果，分析存在的安全隐患，编制系统等级保护差距分析报告，并给出安全整改建议，指导系统安全建设整改。成果输出：《网络安全等级保护差距分析》《问题列表及整改建议》。</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3.漏洞扫描采用漏洞扫描工具，对系统进行扫描，主动发现应用系统、操作系统、数据库中隐藏的漏洞，并依据结果输出漏洞描述及修补建议；采用WEB应用弱点扫描工具、数据库弱点扫描工具进行全面扫描，经人工验证后出具安全隐患清单和安全加固建议。成果输出：《系统设备漏洞扫描报告》《漏洞修补方案》《安全加固建议》。</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4.渗透测试利用测试工具进行全覆盖信息采集、漏洞发现、漏洞利用等测试，并结合实战经验模拟黑客攻击信息系统，通过非破坏性质安全检测，发现信息系统隐藏的安全弱点，明确信息系统潜在风险，提供有针对性的技术保护措施。成果输出：《信息系统渗透测试报告》。</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5.设计定制全体系整改方案，并配合责任主体开展整改根据等保差距分析报告、漏洞扫描报告和渗透测试报告，编写和提交信息系统等级保护改造详细设计和实施方案，经评审通过后，全程指导和协助系统安全技术体系与安全管理体系的整改建设。成果输出：《信息安全整改建设方案》《信息安全管理体系制度手册》。</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6.等级保护测评</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根据《信息安全技术网络安全等级保护基本要求》（GB/T 22239-2019）、《信息安全技术网络安全等级保护测评要求》（GB/T 28448-2019）、《信息安全技术网络安全等级保护测评过程指南》（GB/T 28449-2018）等标准，对系统进行网络安全等级保护测评。根据等级保护2.0标准的要求，测评内容包括安全物理环境、安全通信网络、安全区域边界、安全计算环境、安全管理中心、安全管理制度、安全管理机构、安全管理人员、安全建设管理、云计算安全扩展要求等，具体安全测评技术要求包括：1）安全物理环境测评。主要包括物理位置选择、物理访问控制、防盗和防破坏、防雷击、防火、电力供应等方面。2）安全计算环境测评。主要包括身份鉴别、访问控制、安全审计、入侵防范、恶意代码</w:t>
      </w:r>
      <w:r>
        <w:rPr>
          <w:rFonts w:ascii="宋体" w:hAnsi="宋体" w:cs="宋体" w:hint="eastAsia"/>
          <w:sz w:val="24"/>
          <w:szCs w:val="24"/>
        </w:rPr>
        <w:lastRenderedPageBreak/>
        <w:t>防范、可信验证、数据完整性、数据保密性等方面。3）安全区域边界测评。主要包括边界防护、访问控制、入侵防范、恶意代码和垃圾邮件防范、安全审计、可信验证等方面。4）安全通信网络测评。主要包括网络架构、通信传输、可信验证等方面。5）安全管理中心测评。主要包括系统管理、审计管理、安全管理、集中管控等方面。6）安全管理制度测评。主要包括安全策略、管理制度、制定与发布、评审与修订等方面。7）安全管理机构测评。主要包括岗位设置、人员配备、授权和审批等方面。8）安全管理人员测评。主要包括人员录用、人员离岗、安全意识教育和培训等方面。9）安全建设管理测评。主要包括定级和备案、安全方案设计、产品采购使用、自行软件开发、外包软件开发、测试验收、等级测评等方面。10）安全运维管理测评。主要包括环境管理、资产管理、介质管理、设备维护管理、漏洞和风险管理、网络和系统安全管理、恶意代码管理、密码管理、备份与恢复管理、应急预案管理等方面。</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成果输出：《网络安全等级保护测评报告》</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（二）协助网络安全整改服务</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1. 协助信息安全技术整改</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投标人需协助采购人完成全国抗肿瘤药物监测网的《信息安全技术网络安全等级保护基本要求》“第三级安全等级”等保测评所有安全涉及高危漏洞整改。</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2.协助信息安全管理制度整改</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按照网络安全等级保护的相关要求，协助采购人建立信息安全保护持续改进机制，梳理我院现有网络安全等级保护管理制度，健全和完善我院网络安全的管理体系、技术体系和运维体系，促进信息安全保障水平不断提升。</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3.协助测评</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投标人在完成上述工作后，需协助采购人完成全国抗肿瘤药物监测网相关的网络安全等级保护测评工作，同时，测评报告由具备《网络安全服务认证证书等级保护测评服务认证证书》的测评机构出具。</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4.安全迎检技术支持</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服务有效期内根据采购人需求，配合应对上级单位所有网络安全检查，包括如下几个主要部分：</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安全策略检查：检查所有安全系统安全策略，确认策略配置是否合理且有效，</w:t>
      </w:r>
      <w:r>
        <w:rPr>
          <w:rFonts w:ascii="宋体" w:hAnsi="宋体" w:cs="宋体" w:hint="eastAsia"/>
          <w:sz w:val="24"/>
          <w:szCs w:val="24"/>
        </w:rPr>
        <w:lastRenderedPageBreak/>
        <w:t>对不合理的配置提出整改意见，在巡检报告中给出策略优化建议。</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安全漏洞排查：结合现有网络拓扑图，给出安全风险点，并给出安全加固建议。沟通业务运维流程，分析运维过程中存在的安全漏洞，提出整改建议。</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依据国家信息安全等级保护相关标准，完成信息安全技术体系框架设计工作等技术支持服务；</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协助采购人准备所有与全国抗肿瘤药物监测网等保相关所需材料，完善网安部门安全检查及日常工作要求的相关文件及信息录入。</w:t>
      </w:r>
    </w:p>
    <w:p w:rsidR="00F1489A" w:rsidRDefault="00040202">
      <w:pPr>
        <w:pStyle w:val="af1"/>
        <w:spacing w:line="360" w:lineRule="auto"/>
        <w:ind w:leftChars="200" w:left="420" w:firstLineChars="0" w:firstLine="0"/>
        <w:rPr>
          <w:rFonts w:ascii="宋体" w:hAnsi="宋体"/>
          <w:b/>
          <w:bCs/>
          <w:sz w:val="24"/>
        </w:rPr>
      </w:pPr>
      <w:r>
        <w:rPr>
          <w:rFonts w:ascii="宋体" w:hAnsi="宋体" w:hint="eastAsia"/>
          <w:b/>
          <w:bCs/>
          <w:sz w:val="24"/>
        </w:rPr>
        <w:t>（三）商用密码应用安全性评估服务</w:t>
      </w:r>
    </w:p>
    <w:p w:rsidR="00F1489A" w:rsidRDefault="00040202">
      <w:pPr>
        <w:pStyle w:val="af1"/>
        <w:spacing w:line="360" w:lineRule="auto"/>
        <w:ind w:firstLine="480"/>
        <w:rPr>
          <w:rFonts w:ascii="宋体" w:hAnsi="宋体"/>
          <w:sz w:val="24"/>
        </w:rPr>
      </w:pPr>
      <w:r>
        <w:rPr>
          <w:rFonts w:ascii="宋体" w:hAnsi="宋体" w:hint="eastAsia"/>
          <w:sz w:val="24"/>
        </w:rPr>
        <w:t>依据GB/T 39786-2021《信息安全技术 信息系统密码应用基本要求》、GB/T 43206-2023《信息安全技术 信息系统密码应用测评要求》、GM/T 0116-2021《信息系统密码应用测评过程指南》、《商用密码应用安全性评估量化规则（2023版）》和系统自身的安全需求，对全国抗肿瘤药物监测网进行商用密码应用安全性评估咨询工作。</w:t>
      </w:r>
    </w:p>
    <w:p w:rsidR="00F1489A" w:rsidRDefault="00040202">
      <w:pPr>
        <w:pStyle w:val="af1"/>
        <w:spacing w:line="360" w:lineRule="auto"/>
        <w:ind w:firstLine="480"/>
        <w:rPr>
          <w:rFonts w:ascii="宋体" w:hAnsi="宋体"/>
          <w:sz w:val="24"/>
        </w:rPr>
      </w:pPr>
      <w:r>
        <w:rPr>
          <w:rFonts w:ascii="宋体" w:hAnsi="宋体" w:hint="eastAsia"/>
          <w:sz w:val="24"/>
        </w:rPr>
        <w:t>具体评估技术要求包括：</w:t>
      </w:r>
    </w:p>
    <w:p w:rsidR="00F1489A" w:rsidRDefault="00040202">
      <w:pPr>
        <w:pStyle w:val="af1"/>
        <w:spacing w:line="360" w:lineRule="auto"/>
        <w:ind w:firstLine="480"/>
        <w:rPr>
          <w:rFonts w:ascii="宋体" w:hAnsi="宋体"/>
          <w:sz w:val="24"/>
        </w:rPr>
      </w:pPr>
      <w:r>
        <w:rPr>
          <w:rFonts w:ascii="宋体" w:hAnsi="宋体" w:hint="eastAsia"/>
          <w:sz w:val="24"/>
        </w:rPr>
        <w:t>1.由专业的技术人员在测评现场实地调研，在分析密码算法、技术合规性，以及密钥管理安全性的基础上，了解系统的物理环境、网络与通信环境、设备和计算情况、涉及的业务和数据等内容，了解系统的基本情况和相关密码应用等保备案情况，确定系统应采用的密码技术的相关具体环节，根据被测系统密码应用安全要求等级，选择《信息安全技术 信息系统密码应用基本要求》中的安全要求作为本次差距分析工作的基本指标，包括物理和环境安全、网络和通信安全、设备和计算安全、应用和数据安全、管理制度、人员管理、建设运行、应急处置共8大类别41项测评指标。由具备资质的技术人员，开展差距分析工作。</w:t>
      </w:r>
    </w:p>
    <w:p w:rsidR="00F1489A" w:rsidRDefault="00040202">
      <w:pPr>
        <w:pStyle w:val="af1"/>
        <w:spacing w:line="360" w:lineRule="auto"/>
        <w:ind w:firstLine="480"/>
        <w:rPr>
          <w:rFonts w:ascii="宋体" w:hAnsi="宋体" w:cs="宋体"/>
          <w:sz w:val="24"/>
          <w:szCs w:val="24"/>
        </w:rPr>
      </w:pPr>
      <w:r>
        <w:rPr>
          <w:rFonts w:ascii="宋体" w:hAnsi="宋体" w:hint="eastAsia"/>
          <w:sz w:val="24"/>
        </w:rPr>
        <w:t>2.成果输出：《全国抗肿瘤药物监测网商用密码应用安全差距分析报告》。</w:t>
      </w:r>
    </w:p>
    <w:p w:rsidR="00F1489A" w:rsidRDefault="00040202">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3</w:t>
      </w:r>
      <w:r>
        <w:rPr>
          <w:rFonts w:ascii="宋体" w:hAnsi="宋体" w:cs="宋体" w:hint="eastAsia"/>
          <w:color w:val="000000"/>
          <w:kern w:val="2"/>
          <w:sz w:val="24"/>
          <w:szCs w:val="24"/>
        </w:rPr>
        <w:t>.资质要求</w:t>
      </w:r>
    </w:p>
    <w:p w:rsidR="00F1489A" w:rsidRDefault="00040202">
      <w:pPr>
        <w:pStyle w:val="10"/>
        <w:numPr>
          <w:ilvl w:val="0"/>
          <w:numId w:val="1"/>
        </w:numPr>
        <w:ind w:firstLineChars="0"/>
        <w:rPr>
          <w:sz w:val="24"/>
          <w:szCs w:val="24"/>
        </w:rPr>
      </w:pPr>
      <w:r>
        <w:rPr>
          <w:rFonts w:hint="eastAsia"/>
          <w:sz w:val="24"/>
          <w:szCs w:val="24"/>
        </w:rPr>
        <w:t>具备有效的公安部第三研究所颁发的网络安全服务认证证书等级保护测评服务认证证书。</w:t>
      </w:r>
    </w:p>
    <w:p w:rsidR="00F1489A" w:rsidRDefault="00040202">
      <w:pPr>
        <w:pStyle w:val="10"/>
        <w:numPr>
          <w:ilvl w:val="0"/>
          <w:numId w:val="1"/>
        </w:numPr>
        <w:ind w:firstLineChars="0"/>
        <w:rPr>
          <w:sz w:val="24"/>
          <w:szCs w:val="24"/>
        </w:rPr>
      </w:pPr>
      <w:r>
        <w:rPr>
          <w:sz w:val="24"/>
          <w:szCs w:val="24"/>
        </w:rPr>
        <w:t>具有</w:t>
      </w:r>
      <w:r>
        <w:rPr>
          <w:rFonts w:hint="eastAsia"/>
          <w:sz w:val="24"/>
          <w:szCs w:val="24"/>
        </w:rPr>
        <w:t>有效的商用密码检测机构资质证书</w:t>
      </w:r>
      <w:r>
        <w:rPr>
          <w:sz w:val="24"/>
          <w:szCs w:val="24"/>
        </w:rPr>
        <w:t>。</w:t>
      </w:r>
    </w:p>
    <w:p w:rsidR="00F1489A" w:rsidRDefault="00040202">
      <w:pPr>
        <w:pStyle w:val="10"/>
        <w:numPr>
          <w:ilvl w:val="0"/>
          <w:numId w:val="1"/>
        </w:numPr>
        <w:ind w:firstLineChars="0"/>
        <w:rPr>
          <w:sz w:val="24"/>
          <w:szCs w:val="24"/>
        </w:rPr>
      </w:pPr>
      <w:r>
        <w:rPr>
          <w:rFonts w:ascii="宋体" w:hAnsi="宋体" w:cs="宋体" w:hint="eastAsia"/>
          <w:sz w:val="24"/>
          <w:szCs w:val="24"/>
        </w:rPr>
        <w:t>项目组成员至少由6人（含项目经理）组成，具有专业测评证书，项目经理在本单位工作经验应不少于5年，且具有高级测评师证书,参与项目</w:t>
      </w:r>
      <w:r>
        <w:rPr>
          <w:rFonts w:ascii="宋体" w:hAnsi="宋体" w:cs="宋体" w:hint="eastAsia"/>
          <w:sz w:val="24"/>
          <w:szCs w:val="24"/>
        </w:rPr>
        <w:lastRenderedPageBreak/>
        <w:t>实施人员需要具备信息安全等级测评师资质。</w:t>
      </w:r>
    </w:p>
    <w:p w:rsidR="00F1489A" w:rsidRDefault="00040202">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4</w:t>
      </w:r>
      <w:r>
        <w:rPr>
          <w:rFonts w:ascii="宋体" w:hAnsi="宋体" w:cs="宋体" w:hint="eastAsia"/>
          <w:color w:val="000000"/>
          <w:kern w:val="2"/>
          <w:sz w:val="24"/>
          <w:szCs w:val="24"/>
        </w:rPr>
        <w:t>.服务承诺</w:t>
      </w:r>
    </w:p>
    <w:p w:rsidR="00F1489A" w:rsidRDefault="00040202">
      <w:pPr>
        <w:pStyle w:val="10"/>
        <w:numPr>
          <w:ilvl w:val="0"/>
          <w:numId w:val="2"/>
        </w:numPr>
        <w:ind w:firstLineChars="0"/>
        <w:rPr>
          <w:sz w:val="24"/>
          <w:szCs w:val="24"/>
        </w:rPr>
      </w:pPr>
      <w:r>
        <w:rPr>
          <w:rFonts w:hint="eastAsia"/>
          <w:sz w:val="24"/>
          <w:szCs w:val="24"/>
        </w:rPr>
        <w:t>在项目实施过程中，应充分尊重甲方需求，采取最小影响原则和规范性原则开展工作。</w:t>
      </w:r>
    </w:p>
    <w:p w:rsidR="00F1489A" w:rsidRDefault="00040202">
      <w:pPr>
        <w:pStyle w:val="10"/>
        <w:numPr>
          <w:ilvl w:val="0"/>
          <w:numId w:val="2"/>
        </w:numPr>
        <w:ind w:firstLineChars="0"/>
        <w:rPr>
          <w:sz w:val="24"/>
          <w:szCs w:val="24"/>
        </w:rPr>
      </w:pPr>
      <w:r>
        <w:rPr>
          <w:sz w:val="24"/>
          <w:szCs w:val="24"/>
        </w:rPr>
        <w:t>合同期内对发现的</w:t>
      </w:r>
      <w:r>
        <w:rPr>
          <w:rFonts w:hint="eastAsia"/>
          <w:sz w:val="24"/>
          <w:szCs w:val="24"/>
        </w:rPr>
        <w:t>各类</w:t>
      </w:r>
      <w:r>
        <w:rPr>
          <w:sz w:val="24"/>
          <w:szCs w:val="24"/>
        </w:rPr>
        <w:t>问题免费进行整改和技术支持</w:t>
      </w:r>
      <w:r>
        <w:rPr>
          <w:rFonts w:hint="eastAsia"/>
          <w:sz w:val="24"/>
          <w:szCs w:val="24"/>
        </w:rPr>
        <w:t>。</w:t>
      </w:r>
    </w:p>
    <w:p w:rsidR="00F1489A" w:rsidRDefault="00040202">
      <w:pPr>
        <w:pStyle w:val="10"/>
        <w:numPr>
          <w:ilvl w:val="0"/>
          <w:numId w:val="2"/>
        </w:numPr>
        <w:ind w:firstLineChars="0"/>
        <w:rPr>
          <w:sz w:val="24"/>
          <w:szCs w:val="24"/>
        </w:rPr>
      </w:pPr>
      <w:r>
        <w:rPr>
          <w:sz w:val="24"/>
          <w:szCs w:val="24"/>
        </w:rPr>
        <w:t>测评对象选择和具体实施时间以甲方要求为准。</w:t>
      </w:r>
    </w:p>
    <w:p w:rsidR="00F1489A" w:rsidRDefault="00040202">
      <w:pPr>
        <w:pStyle w:val="2"/>
        <w:spacing w:before="0" w:after="0" w:line="360" w:lineRule="auto"/>
        <w:rPr>
          <w:rFonts w:ascii="宋体" w:hAnsi="宋体" w:cs="宋体"/>
          <w:color w:val="000000"/>
          <w:kern w:val="2"/>
          <w:sz w:val="24"/>
          <w:szCs w:val="24"/>
        </w:rPr>
      </w:pPr>
      <w:r>
        <w:rPr>
          <w:rFonts w:ascii="宋体" w:hAnsi="宋体" w:cs="宋体" w:hint="eastAsia"/>
          <w:color w:val="000000"/>
          <w:kern w:val="2"/>
          <w:sz w:val="24"/>
          <w:szCs w:val="24"/>
        </w:rPr>
        <w:t>5.安全保密要求</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供应商要严格遵守国家《保密法》及有关保密的法律法规，选派具有良好职业道德的人员参与和从事本项目工作，教育相关人员恪守职业道德，服从甲方的管理，严格遵守甲方的保密规定和工作制度，并承担相应的保密责任。</w:t>
      </w:r>
    </w:p>
    <w:p w:rsidR="00F1489A" w:rsidRDefault="00040202">
      <w:pPr>
        <w:pStyle w:val="af1"/>
        <w:spacing w:line="360" w:lineRule="auto"/>
        <w:ind w:firstLine="480"/>
        <w:rPr>
          <w:rFonts w:ascii="宋体" w:hAnsi="宋体" w:cs="宋体"/>
          <w:sz w:val="24"/>
          <w:szCs w:val="24"/>
        </w:rPr>
      </w:pPr>
      <w:r>
        <w:rPr>
          <w:rFonts w:ascii="宋体" w:hAnsi="宋体" w:cs="宋体" w:hint="eastAsia"/>
          <w:sz w:val="24"/>
          <w:szCs w:val="24"/>
        </w:rPr>
        <w:t>供应商所有参与本项目的服务人员须签订《保密承诺书》。供应商负责对《保密承诺书》归档保管，接受甲方检查。供应商要对承诺履行情况负有监督责任，一经发现违反承诺情况，要及时向甲方报告。</w:t>
      </w:r>
    </w:p>
    <w:p w:rsidR="00F1489A" w:rsidRDefault="00040202" w:rsidP="000629D4">
      <w:pPr>
        <w:pStyle w:val="af1"/>
        <w:spacing w:line="360" w:lineRule="auto"/>
        <w:ind w:firstLine="480"/>
        <w:rPr>
          <w:sz w:val="24"/>
          <w:szCs w:val="24"/>
        </w:rPr>
      </w:pPr>
      <w:r>
        <w:rPr>
          <w:rFonts w:ascii="宋体" w:hAnsi="宋体" w:cs="宋体" w:hint="eastAsia"/>
          <w:sz w:val="24"/>
          <w:szCs w:val="24"/>
        </w:rPr>
        <w:t>供应商所有参与本项目的服务人员自觉接受甲方的安全保密监督和管理，如违反安全保密条款，甲方将追究其责任，对重大的泄密事件将移交司法部门追究其法律责任；对泄露系统资料，造成伤害的，除依据有关规定追究有关责任人员法律责任外，还应依法承担相应的民事责任。</w:t>
      </w:r>
    </w:p>
    <w:p w:rsidR="00F1489A" w:rsidRDefault="00F1489A">
      <w:pPr>
        <w:pStyle w:val="10"/>
        <w:ind w:left="420" w:firstLineChars="0" w:firstLine="0"/>
        <w:rPr>
          <w:sz w:val="24"/>
          <w:szCs w:val="24"/>
        </w:rPr>
      </w:pPr>
    </w:p>
    <w:sectPr w:rsidR="00F148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DD" w:rsidRDefault="007958DD">
      <w:pPr>
        <w:spacing w:line="240" w:lineRule="auto"/>
      </w:pPr>
      <w:r>
        <w:separator/>
      </w:r>
    </w:p>
  </w:endnote>
  <w:endnote w:type="continuationSeparator" w:id="0">
    <w:p w:rsidR="007958DD" w:rsidRDefault="00795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DD" w:rsidRDefault="007958DD">
      <w:r>
        <w:separator/>
      </w:r>
    </w:p>
  </w:footnote>
  <w:footnote w:type="continuationSeparator" w:id="0">
    <w:p w:rsidR="007958DD" w:rsidRDefault="00795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1E275"/>
    <w:multiLevelType w:val="singleLevel"/>
    <w:tmpl w:val="8281E275"/>
    <w:lvl w:ilvl="0">
      <w:start w:val="1"/>
      <w:numFmt w:val="decimal"/>
      <w:lvlText w:val="%1."/>
      <w:lvlJc w:val="left"/>
      <w:pPr>
        <w:ind w:left="4253" w:hanging="425"/>
      </w:pPr>
      <w:rPr>
        <w:rFonts w:hint="default"/>
      </w:rPr>
    </w:lvl>
  </w:abstractNum>
  <w:abstractNum w:abstractNumId="1">
    <w:nsid w:val="8692D50F"/>
    <w:multiLevelType w:val="multilevel"/>
    <w:tmpl w:val="8692D50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8D21EF84"/>
    <w:multiLevelType w:val="singleLevel"/>
    <w:tmpl w:val="8D21EF84"/>
    <w:lvl w:ilvl="0">
      <w:start w:val="1"/>
      <w:numFmt w:val="decimal"/>
      <w:lvlText w:val="%1."/>
      <w:lvlJc w:val="left"/>
      <w:pPr>
        <w:ind w:left="425" w:hanging="425"/>
      </w:pPr>
      <w:rPr>
        <w:rFonts w:hint="default"/>
      </w:rPr>
    </w:lvl>
  </w:abstractNum>
  <w:abstractNum w:abstractNumId="3">
    <w:nsid w:val="AFD188CD"/>
    <w:multiLevelType w:val="singleLevel"/>
    <w:tmpl w:val="AFD188CD"/>
    <w:lvl w:ilvl="0">
      <w:start w:val="1"/>
      <w:numFmt w:val="decimal"/>
      <w:lvlText w:val="%1."/>
      <w:lvlJc w:val="left"/>
      <w:pPr>
        <w:ind w:left="425" w:hanging="425"/>
      </w:pPr>
      <w:rPr>
        <w:rFonts w:hint="default"/>
      </w:rPr>
    </w:lvl>
  </w:abstractNum>
  <w:abstractNum w:abstractNumId="4">
    <w:nsid w:val="ECCFE350"/>
    <w:multiLevelType w:val="singleLevel"/>
    <w:tmpl w:val="ECCFE350"/>
    <w:lvl w:ilvl="0">
      <w:start w:val="1"/>
      <w:numFmt w:val="decimal"/>
      <w:lvlText w:val="%1."/>
      <w:lvlJc w:val="left"/>
      <w:pPr>
        <w:ind w:left="425" w:hanging="425"/>
      </w:pPr>
      <w:rPr>
        <w:rFonts w:hint="default"/>
      </w:rPr>
    </w:lvl>
  </w:abstractNum>
  <w:abstractNum w:abstractNumId="5">
    <w:nsid w:val="007F421A"/>
    <w:multiLevelType w:val="multilevel"/>
    <w:tmpl w:val="007F42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1468FDA"/>
    <w:multiLevelType w:val="singleLevel"/>
    <w:tmpl w:val="11468FDA"/>
    <w:lvl w:ilvl="0">
      <w:start w:val="1"/>
      <w:numFmt w:val="decimal"/>
      <w:lvlText w:val="%1."/>
      <w:lvlJc w:val="left"/>
      <w:pPr>
        <w:ind w:left="425" w:hanging="425"/>
      </w:pPr>
      <w:rPr>
        <w:rFonts w:hint="default"/>
      </w:rPr>
    </w:lvl>
  </w:abstractNum>
  <w:abstractNum w:abstractNumId="7">
    <w:nsid w:val="3AA03983"/>
    <w:multiLevelType w:val="singleLevel"/>
    <w:tmpl w:val="3AA03983"/>
    <w:lvl w:ilvl="0">
      <w:start w:val="1"/>
      <w:numFmt w:val="decimal"/>
      <w:lvlText w:val="%1."/>
      <w:lvlJc w:val="left"/>
      <w:pPr>
        <w:ind w:left="425" w:hanging="425"/>
      </w:pPr>
      <w:rPr>
        <w:rFonts w:hint="default"/>
      </w:rPr>
    </w:lvl>
  </w:abstractNum>
  <w:abstractNum w:abstractNumId="8">
    <w:nsid w:val="694B905F"/>
    <w:multiLevelType w:val="singleLevel"/>
    <w:tmpl w:val="694B905F"/>
    <w:lvl w:ilvl="0">
      <w:start w:val="1"/>
      <w:numFmt w:val="decimal"/>
      <w:lvlText w:val="%1."/>
      <w:lvlJc w:val="left"/>
      <w:pPr>
        <w:ind w:left="425" w:hanging="425"/>
      </w:pPr>
      <w:rPr>
        <w:rFonts w:hint="default"/>
      </w:rPr>
    </w:lvl>
  </w:abstractNum>
  <w:num w:numId="1">
    <w:abstractNumId w:val="5"/>
  </w:num>
  <w:num w:numId="2">
    <w:abstractNumId w:val="1"/>
  </w:num>
  <w:num w:numId="3">
    <w:abstractNumId w:val="4"/>
  </w:num>
  <w:num w:numId="4">
    <w:abstractNumId w:val="6"/>
  </w:num>
  <w:num w:numId="5">
    <w:abstractNumId w:val="7"/>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F25071"/>
    <w:rsid w:val="000064FF"/>
    <w:rsid w:val="000140C3"/>
    <w:rsid w:val="0002573A"/>
    <w:rsid w:val="00025F2E"/>
    <w:rsid w:val="00040202"/>
    <w:rsid w:val="0006166E"/>
    <w:rsid w:val="000629D4"/>
    <w:rsid w:val="000733F2"/>
    <w:rsid w:val="00083026"/>
    <w:rsid w:val="00094174"/>
    <w:rsid w:val="00094751"/>
    <w:rsid w:val="000A255B"/>
    <w:rsid w:val="000A6B30"/>
    <w:rsid w:val="000E0CF7"/>
    <w:rsid w:val="000F48DB"/>
    <w:rsid w:val="00103B4E"/>
    <w:rsid w:val="00124E31"/>
    <w:rsid w:val="00125004"/>
    <w:rsid w:val="00125518"/>
    <w:rsid w:val="00125AFD"/>
    <w:rsid w:val="00137EBA"/>
    <w:rsid w:val="00143682"/>
    <w:rsid w:val="001445CF"/>
    <w:rsid w:val="001704FC"/>
    <w:rsid w:val="00174B96"/>
    <w:rsid w:val="00181AD1"/>
    <w:rsid w:val="001848A9"/>
    <w:rsid w:val="001C15E6"/>
    <w:rsid w:val="001E199C"/>
    <w:rsid w:val="001F3572"/>
    <w:rsid w:val="001F797D"/>
    <w:rsid w:val="002042FB"/>
    <w:rsid w:val="00214FC8"/>
    <w:rsid w:val="00223CF4"/>
    <w:rsid w:val="00226627"/>
    <w:rsid w:val="002372F4"/>
    <w:rsid w:val="002509F5"/>
    <w:rsid w:val="00256472"/>
    <w:rsid w:val="00275C3A"/>
    <w:rsid w:val="00281E73"/>
    <w:rsid w:val="00282B6F"/>
    <w:rsid w:val="0028487A"/>
    <w:rsid w:val="002B037E"/>
    <w:rsid w:val="002D0F34"/>
    <w:rsid w:val="002D7571"/>
    <w:rsid w:val="002E5B8E"/>
    <w:rsid w:val="002F585B"/>
    <w:rsid w:val="003017BA"/>
    <w:rsid w:val="0030186A"/>
    <w:rsid w:val="00305248"/>
    <w:rsid w:val="00313255"/>
    <w:rsid w:val="00313C3E"/>
    <w:rsid w:val="00321A2B"/>
    <w:rsid w:val="00354B84"/>
    <w:rsid w:val="003A3A71"/>
    <w:rsid w:val="003B5686"/>
    <w:rsid w:val="003B640E"/>
    <w:rsid w:val="003C348A"/>
    <w:rsid w:val="003F31C2"/>
    <w:rsid w:val="00406316"/>
    <w:rsid w:val="0044122F"/>
    <w:rsid w:val="00447626"/>
    <w:rsid w:val="004602F0"/>
    <w:rsid w:val="00494ABC"/>
    <w:rsid w:val="004B2C63"/>
    <w:rsid w:val="004B4F7D"/>
    <w:rsid w:val="004D287D"/>
    <w:rsid w:val="00555A53"/>
    <w:rsid w:val="0058183C"/>
    <w:rsid w:val="00587BEC"/>
    <w:rsid w:val="00590483"/>
    <w:rsid w:val="00591EC8"/>
    <w:rsid w:val="0059268C"/>
    <w:rsid w:val="005931D4"/>
    <w:rsid w:val="00593DBE"/>
    <w:rsid w:val="0059414B"/>
    <w:rsid w:val="00594D9F"/>
    <w:rsid w:val="005C2306"/>
    <w:rsid w:val="005C23D4"/>
    <w:rsid w:val="005C3228"/>
    <w:rsid w:val="005C3C9E"/>
    <w:rsid w:val="005C6E0C"/>
    <w:rsid w:val="005D1E36"/>
    <w:rsid w:val="005D2CA1"/>
    <w:rsid w:val="005E0638"/>
    <w:rsid w:val="005F7610"/>
    <w:rsid w:val="005F7AB2"/>
    <w:rsid w:val="00606D0A"/>
    <w:rsid w:val="00610274"/>
    <w:rsid w:val="00643497"/>
    <w:rsid w:val="00655F3D"/>
    <w:rsid w:val="00676FC6"/>
    <w:rsid w:val="006A294B"/>
    <w:rsid w:val="006A3C30"/>
    <w:rsid w:val="006A76F2"/>
    <w:rsid w:val="006E3888"/>
    <w:rsid w:val="007031EF"/>
    <w:rsid w:val="007148DC"/>
    <w:rsid w:val="007265C2"/>
    <w:rsid w:val="00755B03"/>
    <w:rsid w:val="00764628"/>
    <w:rsid w:val="0077726D"/>
    <w:rsid w:val="00787AD6"/>
    <w:rsid w:val="00791A51"/>
    <w:rsid w:val="007958DD"/>
    <w:rsid w:val="007B5035"/>
    <w:rsid w:val="007B5A17"/>
    <w:rsid w:val="007B7986"/>
    <w:rsid w:val="007B7F55"/>
    <w:rsid w:val="007C276C"/>
    <w:rsid w:val="007E0439"/>
    <w:rsid w:val="007E648B"/>
    <w:rsid w:val="007F2A2B"/>
    <w:rsid w:val="007F34B9"/>
    <w:rsid w:val="007F6DEB"/>
    <w:rsid w:val="008108D5"/>
    <w:rsid w:val="0083342C"/>
    <w:rsid w:val="00841800"/>
    <w:rsid w:val="00844B90"/>
    <w:rsid w:val="00852BD8"/>
    <w:rsid w:val="00861AC3"/>
    <w:rsid w:val="008637FA"/>
    <w:rsid w:val="00866122"/>
    <w:rsid w:val="00874B70"/>
    <w:rsid w:val="0088052A"/>
    <w:rsid w:val="00881BB3"/>
    <w:rsid w:val="00896E11"/>
    <w:rsid w:val="008A46C0"/>
    <w:rsid w:val="008C1C8C"/>
    <w:rsid w:val="008C6073"/>
    <w:rsid w:val="008D08CC"/>
    <w:rsid w:val="008E5386"/>
    <w:rsid w:val="008F509A"/>
    <w:rsid w:val="009042BC"/>
    <w:rsid w:val="00924041"/>
    <w:rsid w:val="00925744"/>
    <w:rsid w:val="009262E4"/>
    <w:rsid w:val="00927810"/>
    <w:rsid w:val="0094550F"/>
    <w:rsid w:val="00951133"/>
    <w:rsid w:val="00962E65"/>
    <w:rsid w:val="00963B1F"/>
    <w:rsid w:val="00991891"/>
    <w:rsid w:val="009F76F2"/>
    <w:rsid w:val="00A0164F"/>
    <w:rsid w:val="00A13B86"/>
    <w:rsid w:val="00A20A2C"/>
    <w:rsid w:val="00A243D4"/>
    <w:rsid w:val="00A375AE"/>
    <w:rsid w:val="00A436FE"/>
    <w:rsid w:val="00A467EB"/>
    <w:rsid w:val="00A67374"/>
    <w:rsid w:val="00A76A09"/>
    <w:rsid w:val="00A8203C"/>
    <w:rsid w:val="00A84804"/>
    <w:rsid w:val="00AA6787"/>
    <w:rsid w:val="00AA6C10"/>
    <w:rsid w:val="00AA70F7"/>
    <w:rsid w:val="00AC4993"/>
    <w:rsid w:val="00AD1E90"/>
    <w:rsid w:val="00AE50D7"/>
    <w:rsid w:val="00AE6B78"/>
    <w:rsid w:val="00B010C4"/>
    <w:rsid w:val="00B032D9"/>
    <w:rsid w:val="00B05A74"/>
    <w:rsid w:val="00B444C2"/>
    <w:rsid w:val="00B44A30"/>
    <w:rsid w:val="00B4682F"/>
    <w:rsid w:val="00B72E77"/>
    <w:rsid w:val="00B73B55"/>
    <w:rsid w:val="00B7682D"/>
    <w:rsid w:val="00B9584C"/>
    <w:rsid w:val="00BB40AC"/>
    <w:rsid w:val="00BB5EEA"/>
    <w:rsid w:val="00BC167B"/>
    <w:rsid w:val="00BC52FF"/>
    <w:rsid w:val="00BD09A8"/>
    <w:rsid w:val="00BF5DE0"/>
    <w:rsid w:val="00BF61AB"/>
    <w:rsid w:val="00C24DFA"/>
    <w:rsid w:val="00C32C1B"/>
    <w:rsid w:val="00C45DEE"/>
    <w:rsid w:val="00C50D12"/>
    <w:rsid w:val="00C56927"/>
    <w:rsid w:val="00C777A4"/>
    <w:rsid w:val="00C84F3E"/>
    <w:rsid w:val="00C9341A"/>
    <w:rsid w:val="00CA1590"/>
    <w:rsid w:val="00CA5116"/>
    <w:rsid w:val="00CB6416"/>
    <w:rsid w:val="00CC0E9F"/>
    <w:rsid w:val="00CF649D"/>
    <w:rsid w:val="00D05BFA"/>
    <w:rsid w:val="00D11CEF"/>
    <w:rsid w:val="00D17846"/>
    <w:rsid w:val="00D232BA"/>
    <w:rsid w:val="00D23EF0"/>
    <w:rsid w:val="00D41648"/>
    <w:rsid w:val="00D53FF1"/>
    <w:rsid w:val="00D56EE9"/>
    <w:rsid w:val="00D66F7B"/>
    <w:rsid w:val="00D83629"/>
    <w:rsid w:val="00D949BA"/>
    <w:rsid w:val="00D95A6F"/>
    <w:rsid w:val="00D9601E"/>
    <w:rsid w:val="00DC3E3D"/>
    <w:rsid w:val="00DC693D"/>
    <w:rsid w:val="00DE1779"/>
    <w:rsid w:val="00DF3E82"/>
    <w:rsid w:val="00E208A1"/>
    <w:rsid w:val="00E215B7"/>
    <w:rsid w:val="00E35579"/>
    <w:rsid w:val="00E53CF7"/>
    <w:rsid w:val="00E55DDA"/>
    <w:rsid w:val="00E57969"/>
    <w:rsid w:val="00E7748E"/>
    <w:rsid w:val="00E8731F"/>
    <w:rsid w:val="00EA2852"/>
    <w:rsid w:val="00EA2D82"/>
    <w:rsid w:val="00EA3F6A"/>
    <w:rsid w:val="00EB73D6"/>
    <w:rsid w:val="00EC291A"/>
    <w:rsid w:val="00ED60FB"/>
    <w:rsid w:val="00EF5DC5"/>
    <w:rsid w:val="00F01507"/>
    <w:rsid w:val="00F1489A"/>
    <w:rsid w:val="00F16453"/>
    <w:rsid w:val="00F17CED"/>
    <w:rsid w:val="00F25071"/>
    <w:rsid w:val="00F33A01"/>
    <w:rsid w:val="00F35831"/>
    <w:rsid w:val="00F3661F"/>
    <w:rsid w:val="00F44CC0"/>
    <w:rsid w:val="00F90331"/>
    <w:rsid w:val="00F9720D"/>
    <w:rsid w:val="00FA12DC"/>
    <w:rsid w:val="00FA7E63"/>
    <w:rsid w:val="00FB2954"/>
    <w:rsid w:val="00FC64B1"/>
    <w:rsid w:val="00FC7191"/>
    <w:rsid w:val="00FD70A6"/>
    <w:rsid w:val="1624403D"/>
    <w:rsid w:val="376206BD"/>
    <w:rsid w:val="3A136FDD"/>
    <w:rsid w:val="41480AD1"/>
    <w:rsid w:val="45446683"/>
    <w:rsid w:val="5D0A1E25"/>
    <w:rsid w:val="774701D8"/>
    <w:rsid w:val="7AE0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8152F-4783-4780-A4FD-C1D45AF0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8"/>
    <w:qFormat/>
    <w:pPr>
      <w:widowControl w:val="0"/>
      <w:spacing w:line="360" w:lineRule="auto"/>
      <w:jc w:val="both"/>
    </w:pPr>
    <w:rPr>
      <w:kern w:val="2"/>
      <w:sz w:val="21"/>
      <w:szCs w:val="21"/>
    </w:rPr>
  </w:style>
  <w:style w:type="paragraph" w:styleId="1">
    <w:name w:val="heading 1"/>
    <w:basedOn w:val="a"/>
    <w:next w:val="a"/>
    <w:link w:val="1Char1"/>
    <w:qFormat/>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Char1"/>
    <w:qFormat/>
    <w:pPr>
      <w:spacing w:before="260" w:after="260" w:line="416" w:lineRule="atLeast"/>
      <w:outlineLvl w:val="1"/>
    </w:pPr>
    <w:rPr>
      <w:b/>
      <w:kern w:val="0"/>
      <w:sz w:val="30"/>
      <w:szCs w:val="20"/>
    </w:rPr>
  </w:style>
  <w:style w:type="paragraph" w:styleId="3">
    <w:name w:val="heading 3"/>
    <w:basedOn w:val="a"/>
    <w:next w:val="a"/>
    <w:link w:val="3Char1"/>
    <w:qFormat/>
    <w:pPr>
      <w:tabs>
        <w:tab w:val="left" w:pos="588"/>
      </w:tabs>
      <w:ind w:left="186"/>
      <w:outlineLvl w:val="2"/>
    </w:pPr>
    <w:rPr>
      <w:snapToGrid w:val="0"/>
      <w:kern w:val="0"/>
      <w:sz w:val="28"/>
      <w:szCs w:val="20"/>
    </w:rPr>
  </w:style>
  <w:style w:type="paragraph" w:styleId="4">
    <w:name w:val="heading 4"/>
    <w:basedOn w:val="a"/>
    <w:next w:val="a"/>
    <w:link w:val="4Char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unhideWhenUsed/>
    <w:qFormat/>
    <w:pPr>
      <w:ind w:leftChars="1400" w:left="1400"/>
    </w:pPr>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line="240" w:lineRule="auto"/>
    </w:pPr>
    <w:rPr>
      <w:szCs w:val="24"/>
    </w:rPr>
  </w:style>
  <w:style w:type="paragraph" w:styleId="a5">
    <w:name w:val="Body Text Indent"/>
    <w:basedOn w:val="a"/>
    <w:qFormat/>
    <w:pPr>
      <w:spacing w:after="120"/>
      <w:ind w:leftChars="200" w:left="420"/>
    </w:pPr>
    <w:rPr>
      <w:lang w:val="zh-CN"/>
    </w:rPr>
  </w:style>
  <w:style w:type="paragraph" w:styleId="a6">
    <w:name w:val="Balloon Text"/>
    <w:basedOn w:val="a"/>
    <w:link w:val="Char1"/>
    <w:uiPriority w:val="99"/>
    <w:semiHidden/>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paragraph" w:styleId="aa">
    <w:name w:val="annotation subject"/>
    <w:basedOn w:val="a3"/>
    <w:next w:val="a3"/>
    <w:link w:val="Char4"/>
    <w:uiPriority w:val="99"/>
    <w:semiHidden/>
    <w:unhideWhenUsed/>
    <w:qFormat/>
    <w:rPr>
      <w:b/>
      <w:bCs/>
    </w:rPr>
  </w:style>
  <w:style w:type="paragraph" w:styleId="20">
    <w:name w:val="Body Text First Indent 2"/>
    <w:basedOn w:val="a5"/>
    <w:uiPriority w:val="99"/>
    <w:semiHidden/>
    <w:unhideWhenUsed/>
    <w:qFormat/>
    <w:pPr>
      <w:ind w:firstLineChars="200" w:firstLine="420"/>
    </w:pPr>
    <w:rPr>
      <w:lang w:val="en-U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rPr>
  </w:style>
  <w:style w:type="character" w:styleId="ad">
    <w:name w:val="FollowedHyperlink"/>
    <w:basedOn w:val="a0"/>
    <w:uiPriority w:val="99"/>
    <w:semiHidden/>
    <w:unhideWhenUsed/>
    <w:qFormat/>
    <w:rPr>
      <w:color w:val="338DE6"/>
      <w:u w:val="none"/>
    </w:rPr>
  </w:style>
  <w:style w:type="character" w:styleId="ae">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
    <w:name w:val="Hyperlink"/>
    <w:basedOn w:val="a0"/>
    <w:uiPriority w:val="99"/>
    <w:semiHidden/>
    <w:unhideWhenUsed/>
    <w:qFormat/>
    <w:rPr>
      <w:color w:val="338DE6"/>
      <w:u w:val="non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f0">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3Char1">
    <w:name w:val="标题 3 Char1"/>
    <w:link w:val="3"/>
    <w:qFormat/>
    <w:rPr>
      <w:rFonts w:ascii="Times New Roman" w:eastAsia="宋体" w:hAnsi="Times New Roman" w:cs="Times New Roman"/>
      <w:snapToGrid w:val="0"/>
      <w:kern w:val="0"/>
      <w:sz w:val="28"/>
      <w:szCs w:val="20"/>
    </w:rPr>
  </w:style>
  <w:style w:type="character" w:customStyle="1" w:styleId="4Char1">
    <w:name w:val="标题 4 Char1"/>
    <w:link w:val="4"/>
    <w:qFormat/>
    <w:rPr>
      <w:rFonts w:ascii="Arial" w:eastAsia="黑体" w:hAnsi="Arial" w:cs="Times New Roman"/>
      <w:b/>
      <w:kern w:val="0"/>
      <w:sz w:val="28"/>
      <w:szCs w:val="20"/>
    </w:rPr>
  </w:style>
  <w:style w:type="character" w:customStyle="1" w:styleId="1Char1">
    <w:name w:val="标题 1 Char1"/>
    <w:link w:val="1"/>
    <w:qFormat/>
    <w:rPr>
      <w:rFonts w:ascii="Cambria" w:eastAsia="宋体" w:hAnsi="Cambria" w:cs="Times New Roman"/>
      <w:b/>
      <w:bCs/>
      <w:kern w:val="32"/>
      <w:sz w:val="32"/>
      <w:szCs w:val="32"/>
    </w:rPr>
  </w:style>
  <w:style w:type="character" w:customStyle="1" w:styleId="2Char1">
    <w:name w:val="标题 2 Char1"/>
    <w:link w:val="2"/>
    <w:qFormat/>
    <w:rPr>
      <w:rFonts w:ascii="Times New Roman" w:eastAsia="宋体" w:hAnsi="Times New Roman" w:cs="Times New Roman"/>
      <w:b/>
      <w:kern w:val="0"/>
      <w:sz w:val="30"/>
      <w:szCs w:val="20"/>
    </w:rPr>
  </w:style>
  <w:style w:type="paragraph" w:customStyle="1" w:styleId="10">
    <w:name w:val="列出段落1"/>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4">
    <w:name w:val="批注主题 Char"/>
    <w:basedOn w:val="Char"/>
    <w:link w:val="aa"/>
    <w:uiPriority w:val="99"/>
    <w:semiHidden/>
    <w:qFormat/>
    <w:rPr>
      <w:rFonts w:ascii="Times New Roman" w:eastAsia="宋体" w:hAnsi="Times New Roman" w:cs="Times New Roman"/>
      <w:b/>
      <w:bCs/>
      <w:szCs w:val="21"/>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 w:type="character" w:customStyle="1" w:styleId="Char3">
    <w:name w:val="页眉 Char"/>
    <w:basedOn w:val="a0"/>
    <w:link w:val="a8"/>
    <w:uiPriority w:val="99"/>
    <w:qFormat/>
    <w:rPr>
      <w:kern w:val="2"/>
      <w:sz w:val="18"/>
      <w:szCs w:val="18"/>
    </w:rPr>
  </w:style>
  <w:style w:type="character" w:customStyle="1" w:styleId="Char2">
    <w:name w:val="页脚 Char"/>
    <w:basedOn w:val="a0"/>
    <w:link w:val="a7"/>
    <w:uiPriority w:val="99"/>
    <w:qFormat/>
    <w:rPr>
      <w:kern w:val="2"/>
      <w:sz w:val="18"/>
      <w:szCs w:val="18"/>
    </w:rPr>
  </w:style>
  <w:style w:type="paragraph" w:styleId="af1">
    <w:name w:val="List Paragraph"/>
    <w:basedOn w:val="a"/>
    <w:uiPriority w:val="34"/>
    <w:qFormat/>
    <w:pPr>
      <w:spacing w:line="240" w:lineRule="auto"/>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pPr>
      <w:spacing w:line="240" w:lineRule="auto"/>
      <w:jc w:val="left"/>
    </w:pPr>
    <w:rPr>
      <w:rFonts w:asciiTheme="minorHAnsi" w:eastAsiaTheme="minorEastAsia" w:hAnsiTheme="minorHAnsi" w:cstheme="minorBidi"/>
      <w:kern w:val="0"/>
      <w:sz w:val="22"/>
      <w:szCs w:val="22"/>
      <w:lang w:eastAsia="en-US"/>
    </w:rPr>
  </w:style>
  <w:style w:type="character" w:customStyle="1" w:styleId="Char0">
    <w:name w:val="正文文本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9202-91E8-4BF0-B5B1-56FAEA08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admin</cp:lastModifiedBy>
  <cp:revision>197</cp:revision>
  <dcterms:created xsi:type="dcterms:W3CDTF">2019-12-09T07:52:00Z</dcterms:created>
  <dcterms:modified xsi:type="dcterms:W3CDTF">2025-07-03T10:40:00Z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D7283568D9DD42BD8C04F83FD1F9AA3E_13</vt:lpwstr>
  </property>
  <property fmtid="{D5CDD505-2E9C-101B-9397-08002B2CF9AE}" pid="4" name="KSOTemplateDocerSaveRecord">
    <vt:lpwstr>eyJoZGlkIjoiMmZjMDk5M2U3MzJkOTQ3NTMwZDJhODE3NTU0MjkyMjEiLCJ1c2VySWQiOiIzMDExMjk3NTcifQ==</vt:lpwstr>
  </property>
</Properties>
</file>