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65D3B">
      <w:pPr>
        <w:ind w:left="0" w:leftChars="0" w:firstLine="0" w:firstLineChars="0"/>
        <w:rPr>
          <w:sz w:val="18"/>
          <w:szCs w:val="18"/>
        </w:rPr>
      </w:pPr>
      <w:r>
        <w:rPr>
          <w:rFonts w:hint="eastAsia"/>
          <w:sz w:val="18"/>
          <w:szCs w:val="18"/>
        </w:rPr>
        <w:t>附件</w:t>
      </w:r>
    </w:p>
    <w:p w14:paraId="35D353E9">
      <w:pPr>
        <w:ind w:firstLine="880"/>
        <w:jc w:val="center"/>
        <w:rPr>
          <w:rFonts w:hint="eastAsia" w:ascii="黑体" w:hAnsi="黑体" w:eastAsia="黑体" w:cs="黑体"/>
          <w:sz w:val="44"/>
          <w:szCs w:val="44"/>
        </w:rPr>
      </w:pPr>
      <w:bookmarkStart w:id="0" w:name="_Toc17388"/>
      <w:bookmarkStart w:id="1" w:name="_Toc5305567"/>
      <w:bookmarkStart w:id="2" w:name="_Toc22879"/>
      <w:r>
        <w:rPr>
          <w:rFonts w:hint="eastAsia" w:ascii="黑体" w:hAnsi="黑体" w:eastAsia="黑体" w:cs="黑体"/>
          <w:sz w:val="44"/>
          <w:szCs w:val="44"/>
        </w:rPr>
        <w:t>中国医学科学院肿瘤医院廊坊院区</w:t>
      </w:r>
      <w:bookmarkEnd w:id="0"/>
      <w:bookmarkEnd w:id="1"/>
      <w:bookmarkEnd w:id="2"/>
    </w:p>
    <w:p w14:paraId="0746E352">
      <w:pPr>
        <w:ind w:firstLine="880"/>
        <w:jc w:val="center"/>
        <w:rPr>
          <w:rFonts w:hint="eastAsia" w:ascii="黑体" w:hAnsi="黑体" w:eastAsia="黑体" w:cs="黑体"/>
          <w:sz w:val="44"/>
          <w:szCs w:val="44"/>
        </w:rPr>
      </w:pPr>
      <w:r>
        <w:rPr>
          <w:rFonts w:hint="eastAsia" w:ascii="黑体" w:hAnsi="黑体" w:eastAsia="黑体" w:cs="黑体"/>
          <w:sz w:val="44"/>
          <w:szCs w:val="44"/>
        </w:rPr>
        <w:t>终端运维采购需求</w:t>
      </w:r>
    </w:p>
    <w:p w14:paraId="458B73D1">
      <w:pPr>
        <w:numPr>
          <w:ilvl w:val="0"/>
          <w:numId w:val="1"/>
        </w:numPr>
        <w:spacing w:line="360" w:lineRule="auto"/>
        <w:ind w:firstLineChars="0"/>
        <w:outlineLvl w:val="0"/>
        <w:rPr>
          <w:b/>
          <w:sz w:val="24"/>
        </w:rPr>
      </w:pPr>
      <w:r>
        <w:rPr>
          <w:rFonts w:hint="eastAsia"/>
          <w:b/>
          <w:sz w:val="24"/>
        </w:rPr>
        <w:t>项目概述</w:t>
      </w:r>
    </w:p>
    <w:p w14:paraId="11E6E727">
      <w:pPr>
        <w:spacing w:line="360" w:lineRule="auto"/>
        <w:ind w:firstLine="480"/>
        <w:rPr>
          <w:rFonts w:ascii="Times New Roman" w:hAnsi="Times New Roman" w:cs="Times New Roman"/>
          <w:sz w:val="24"/>
        </w:rPr>
      </w:pPr>
      <w:r>
        <w:rPr>
          <w:rFonts w:hint="eastAsia" w:ascii="Times New Roman" w:hAnsi="Times New Roman" w:cs="Times New Roman"/>
          <w:sz w:val="24"/>
        </w:rPr>
        <w:t>随着中国医学科学院肿瘤医院廊坊园区信息化工作不断发展，信息系统已经成为医院日常工作必不可少的技术支撑环境，信息系统桌面终端设备运维服务工作需要更加强，通过远程及现场形式解决计算机故障、网络故障及系统维护、硬件</w:t>
      </w:r>
      <w:r>
        <w:rPr>
          <w:rFonts w:ascii="Times New Roman" w:hAnsi="Times New Roman" w:cs="Times New Roman"/>
          <w:sz w:val="24"/>
        </w:rPr>
        <w:t>/</w:t>
      </w:r>
      <w:r>
        <w:rPr>
          <w:rFonts w:hint="eastAsia" w:ascii="Times New Roman" w:hAnsi="Times New Roman" w:cs="Times New Roman"/>
          <w:sz w:val="24"/>
        </w:rPr>
        <w:t xml:space="preserve">软件的安装与故障排查，保障医院 </w:t>
      </w:r>
      <w:r>
        <w:rPr>
          <w:rFonts w:ascii="Times New Roman" w:hAnsi="Times New Roman" w:cs="Times New Roman"/>
          <w:sz w:val="24"/>
        </w:rPr>
        <w:t xml:space="preserve">IT </w:t>
      </w:r>
      <w:r>
        <w:rPr>
          <w:rFonts w:hint="eastAsia" w:ascii="Times New Roman" w:hAnsi="Times New Roman" w:cs="Times New Roman"/>
          <w:sz w:val="24"/>
        </w:rPr>
        <w:t>环境的正常运行。</w:t>
      </w:r>
    </w:p>
    <w:p w14:paraId="623E8EEB">
      <w:pPr>
        <w:numPr>
          <w:ilvl w:val="0"/>
          <w:numId w:val="1"/>
        </w:numPr>
        <w:spacing w:line="360" w:lineRule="auto"/>
        <w:ind w:firstLineChars="0"/>
        <w:outlineLvl w:val="0"/>
        <w:rPr>
          <w:b/>
          <w:sz w:val="24"/>
        </w:rPr>
      </w:pPr>
      <w:r>
        <w:rPr>
          <w:rFonts w:hint="eastAsia"/>
          <w:b/>
          <w:sz w:val="24"/>
        </w:rPr>
        <w:t>需求描述</w:t>
      </w:r>
    </w:p>
    <w:p w14:paraId="14FDBFB7">
      <w:pPr>
        <w:spacing w:line="360" w:lineRule="auto"/>
        <w:ind w:firstLine="235" w:firstLineChars="98"/>
        <w:outlineLvl w:val="1"/>
        <w:rPr>
          <w:b/>
          <w:sz w:val="24"/>
        </w:rPr>
      </w:pPr>
      <w:r>
        <w:rPr>
          <w:rFonts w:hint="eastAsia"/>
          <w:sz w:val="24"/>
        </w:rPr>
        <w:t xml:space="preserve">· </w:t>
      </w:r>
      <w:r>
        <w:rPr>
          <w:rFonts w:hint="eastAsia"/>
          <w:b/>
          <w:sz w:val="24"/>
        </w:rPr>
        <w:t>运维服务周期：1年</w:t>
      </w:r>
    </w:p>
    <w:p w14:paraId="65B089FF">
      <w:pPr>
        <w:spacing w:line="360" w:lineRule="auto"/>
        <w:ind w:firstLine="480"/>
        <w:rPr>
          <w:sz w:val="24"/>
        </w:rPr>
      </w:pPr>
      <w:r>
        <w:rPr>
          <w:rFonts w:hint="eastAsia"/>
          <w:sz w:val="24"/>
        </w:rPr>
        <w:t>投标人在肿瘤医院廊坊院区信息管理中心的管理下，承担肿瘤医院廊坊院区终端计算机桌面系统正常运行维护工作，协助信息中心做好信息系统的日常运维管理、应用运维支持、日常值班等工作。要求提供7*24小时运维服务，受理用户故障申报和服务请求，5-6人模式驻场服务，根据实际情况进行适当调整。</w:t>
      </w:r>
    </w:p>
    <w:p w14:paraId="40AAF685">
      <w:pPr>
        <w:widowControl/>
        <w:ind w:firstLine="240" w:firstLineChars="100"/>
        <w:rPr>
          <w:sz w:val="24"/>
        </w:rPr>
      </w:pPr>
      <w:r>
        <w:rPr>
          <w:rFonts w:ascii="Segoe UI Symbol" w:hAnsi="Segoe UI Symbol" w:eastAsia="Segoe UI Symbol" w:cs="Segoe UI Symbol"/>
          <w:color w:val="000000"/>
          <w:kern w:val="0"/>
          <w:sz w:val="24"/>
          <w:szCs w:val="24"/>
          <w:lang w:bidi="ar"/>
        </w:rPr>
        <w:t>★</w:t>
      </w:r>
      <w:r>
        <w:rPr>
          <w:rFonts w:hint="eastAsia"/>
          <w:sz w:val="24"/>
        </w:rPr>
        <w:t>共5-6人，运维班制及驻场人员工作时间如下：</w:t>
      </w:r>
    </w:p>
    <w:tbl>
      <w:tblPr>
        <w:tblStyle w:val="7"/>
        <w:tblW w:w="875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2389"/>
        <w:gridCol w:w="1309"/>
        <w:gridCol w:w="2019"/>
        <w:gridCol w:w="1603"/>
      </w:tblGrid>
      <w:tr w14:paraId="77AE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79C021F5">
            <w:pPr>
              <w:spacing w:line="360" w:lineRule="auto"/>
              <w:ind w:firstLine="0" w:firstLineChars="0"/>
              <w:jc w:val="center"/>
              <w:rPr>
                <w:rFonts w:eastAsia="宋体"/>
                <w:sz w:val="24"/>
              </w:rPr>
            </w:pPr>
            <w:r>
              <w:rPr>
                <w:rFonts w:hint="eastAsia"/>
                <w:sz w:val="24"/>
              </w:rPr>
              <w:t>班制</w:t>
            </w:r>
          </w:p>
        </w:tc>
        <w:tc>
          <w:tcPr>
            <w:tcW w:w="2389" w:type="dxa"/>
            <w:vAlign w:val="center"/>
          </w:tcPr>
          <w:p w14:paraId="5AE3A572">
            <w:pPr>
              <w:spacing w:line="360" w:lineRule="auto"/>
              <w:ind w:firstLine="0" w:firstLineChars="0"/>
              <w:jc w:val="center"/>
              <w:rPr>
                <w:rFonts w:eastAsia="宋体"/>
                <w:sz w:val="24"/>
              </w:rPr>
            </w:pPr>
            <w:r>
              <w:rPr>
                <w:rFonts w:hint="eastAsia"/>
                <w:sz w:val="24"/>
              </w:rPr>
              <w:t>工作时间</w:t>
            </w:r>
          </w:p>
        </w:tc>
        <w:tc>
          <w:tcPr>
            <w:tcW w:w="1309" w:type="dxa"/>
          </w:tcPr>
          <w:p w14:paraId="6A4EE08D">
            <w:pPr>
              <w:spacing w:line="360" w:lineRule="auto"/>
              <w:ind w:firstLine="0" w:firstLineChars="0"/>
              <w:jc w:val="center"/>
              <w:rPr>
                <w:rFonts w:eastAsia="宋体"/>
                <w:sz w:val="24"/>
              </w:rPr>
            </w:pPr>
            <w:r>
              <w:rPr>
                <w:rFonts w:hint="eastAsia"/>
                <w:sz w:val="24"/>
              </w:rPr>
              <w:t>服务台</w:t>
            </w:r>
          </w:p>
        </w:tc>
        <w:tc>
          <w:tcPr>
            <w:tcW w:w="2019" w:type="dxa"/>
          </w:tcPr>
          <w:p w14:paraId="6F096EC4">
            <w:pPr>
              <w:spacing w:line="360" w:lineRule="auto"/>
              <w:ind w:firstLine="0" w:firstLineChars="0"/>
              <w:jc w:val="center"/>
              <w:rPr>
                <w:sz w:val="24"/>
              </w:rPr>
            </w:pPr>
            <w:r>
              <w:rPr>
                <w:rFonts w:hint="eastAsia"/>
                <w:sz w:val="24"/>
              </w:rPr>
              <w:t>驻场维修工程师</w:t>
            </w:r>
          </w:p>
        </w:tc>
        <w:tc>
          <w:tcPr>
            <w:tcW w:w="1603" w:type="dxa"/>
          </w:tcPr>
          <w:p w14:paraId="57EB4478">
            <w:pPr>
              <w:spacing w:line="360" w:lineRule="auto"/>
              <w:ind w:firstLine="0" w:firstLineChars="0"/>
              <w:jc w:val="center"/>
              <w:rPr>
                <w:sz w:val="24"/>
              </w:rPr>
            </w:pPr>
            <w:r>
              <w:rPr>
                <w:rFonts w:hint="eastAsia"/>
                <w:sz w:val="24"/>
              </w:rPr>
              <w:t>运维工程师</w:t>
            </w:r>
          </w:p>
        </w:tc>
      </w:tr>
      <w:tr w14:paraId="0148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0219C81D">
            <w:pPr>
              <w:spacing w:line="360" w:lineRule="auto"/>
              <w:ind w:firstLine="0" w:firstLineChars="0"/>
              <w:jc w:val="center"/>
              <w:rPr>
                <w:rFonts w:eastAsia="宋体"/>
                <w:sz w:val="24"/>
              </w:rPr>
            </w:pPr>
            <w:r>
              <w:rPr>
                <w:rFonts w:hint="eastAsia"/>
                <w:sz w:val="24"/>
              </w:rPr>
              <w:t>早班</w:t>
            </w:r>
          </w:p>
        </w:tc>
        <w:tc>
          <w:tcPr>
            <w:tcW w:w="2389" w:type="dxa"/>
            <w:vAlign w:val="center"/>
          </w:tcPr>
          <w:p w14:paraId="321EC2B3">
            <w:pPr>
              <w:widowControl/>
              <w:ind w:firstLine="0" w:firstLineChars="0"/>
              <w:jc w:val="center"/>
              <w:rPr>
                <w:sz w:val="24"/>
              </w:rPr>
            </w:pPr>
            <w:r>
              <w:rPr>
                <w:rFonts w:ascii="Times New Roman" w:hAnsi="Times New Roman" w:eastAsia="宋体" w:cs="Times New Roman"/>
                <w:color w:val="000000"/>
                <w:kern w:val="0"/>
                <w:sz w:val="24"/>
                <w:szCs w:val="24"/>
                <w:lang w:bidi="ar"/>
              </w:rPr>
              <w:t>6:30</w:t>
            </w:r>
            <w:r>
              <w:rPr>
                <w:rFonts w:hint="eastAsia" w:ascii="宋体" w:hAnsi="宋体" w:eastAsia="宋体" w:cs="宋体"/>
                <w:color w:val="000000"/>
                <w:kern w:val="0"/>
                <w:sz w:val="24"/>
                <w:szCs w:val="24"/>
                <w:lang w:bidi="ar"/>
              </w:rPr>
              <w:t>开始</w:t>
            </w:r>
          </w:p>
        </w:tc>
        <w:tc>
          <w:tcPr>
            <w:tcW w:w="1309" w:type="dxa"/>
          </w:tcPr>
          <w:p w14:paraId="61200F6A">
            <w:pPr>
              <w:spacing w:line="360" w:lineRule="auto"/>
              <w:ind w:firstLine="480"/>
              <w:jc w:val="both"/>
              <w:rPr>
                <w:sz w:val="24"/>
              </w:rPr>
            </w:pPr>
            <w:r>
              <w:rPr>
                <w:rFonts w:hint="eastAsia"/>
                <w:sz w:val="24"/>
              </w:rPr>
              <w:t>/</w:t>
            </w:r>
          </w:p>
        </w:tc>
        <w:tc>
          <w:tcPr>
            <w:tcW w:w="2019" w:type="dxa"/>
          </w:tcPr>
          <w:p w14:paraId="25FC43CE">
            <w:pPr>
              <w:spacing w:line="360" w:lineRule="auto"/>
              <w:ind w:firstLine="480"/>
              <w:jc w:val="center"/>
              <w:rPr>
                <w:sz w:val="24"/>
              </w:rPr>
            </w:pPr>
            <w:r>
              <w:rPr>
                <w:rFonts w:hint="eastAsia"/>
                <w:sz w:val="24"/>
              </w:rPr>
              <w:t>/</w:t>
            </w:r>
          </w:p>
        </w:tc>
        <w:tc>
          <w:tcPr>
            <w:tcW w:w="1603" w:type="dxa"/>
            <w:vAlign w:val="center"/>
          </w:tcPr>
          <w:p w14:paraId="59C1F7B2">
            <w:pPr>
              <w:spacing w:line="360" w:lineRule="auto"/>
              <w:ind w:firstLine="480"/>
              <w:jc w:val="both"/>
              <w:rPr>
                <w:rFonts w:eastAsia="宋体"/>
                <w:sz w:val="24"/>
              </w:rPr>
            </w:pPr>
            <w:r>
              <w:rPr>
                <w:rFonts w:hint="eastAsia"/>
                <w:sz w:val="24"/>
              </w:rPr>
              <w:t>1人</w:t>
            </w:r>
          </w:p>
        </w:tc>
      </w:tr>
      <w:tr w14:paraId="4A35A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Align w:val="center"/>
          </w:tcPr>
          <w:p w14:paraId="4FD437B1">
            <w:pPr>
              <w:spacing w:line="360" w:lineRule="auto"/>
              <w:ind w:firstLine="0" w:firstLineChars="0"/>
              <w:jc w:val="center"/>
              <w:rPr>
                <w:rFonts w:eastAsia="宋体"/>
                <w:sz w:val="24"/>
              </w:rPr>
            </w:pPr>
            <w:r>
              <w:rPr>
                <w:rFonts w:hint="eastAsia"/>
                <w:sz w:val="24"/>
              </w:rPr>
              <w:t>正常班</w:t>
            </w:r>
          </w:p>
        </w:tc>
        <w:tc>
          <w:tcPr>
            <w:tcW w:w="2389" w:type="dxa"/>
            <w:vAlign w:val="center"/>
          </w:tcPr>
          <w:p w14:paraId="1B697119">
            <w:pPr>
              <w:widowControl/>
              <w:ind w:firstLine="0" w:firstLineChars="0"/>
              <w:jc w:val="center"/>
              <w:rPr>
                <w:sz w:val="24"/>
              </w:rPr>
            </w:pPr>
            <w:r>
              <w:rPr>
                <w:rFonts w:ascii="Times New Roman" w:hAnsi="Times New Roman" w:eastAsia="宋体" w:cs="Times New Roman"/>
                <w:color w:val="000000"/>
                <w:kern w:val="0"/>
                <w:sz w:val="24"/>
                <w:szCs w:val="24"/>
                <w:lang w:bidi="ar"/>
              </w:rPr>
              <w:t>8:00</w:t>
            </w:r>
            <w:r>
              <w:rPr>
                <w:rFonts w:hint="eastAsia" w:ascii="宋体" w:hAnsi="宋体" w:eastAsia="宋体" w:cs="宋体"/>
                <w:color w:val="000000"/>
                <w:kern w:val="0"/>
                <w:sz w:val="24"/>
                <w:szCs w:val="24"/>
                <w:lang w:bidi="ar"/>
              </w:rPr>
              <w:t>～</w:t>
            </w:r>
            <w:r>
              <w:rPr>
                <w:rFonts w:ascii="Times New Roman" w:hAnsi="Times New Roman" w:eastAsia="宋体" w:cs="Times New Roman"/>
                <w:color w:val="000000"/>
                <w:kern w:val="0"/>
                <w:sz w:val="24"/>
                <w:szCs w:val="24"/>
                <w:lang w:bidi="ar"/>
              </w:rPr>
              <w:t>17:30</w:t>
            </w:r>
          </w:p>
        </w:tc>
        <w:tc>
          <w:tcPr>
            <w:tcW w:w="1309" w:type="dxa"/>
          </w:tcPr>
          <w:p w14:paraId="37248B53">
            <w:pPr>
              <w:widowControl/>
              <w:ind w:firstLine="480"/>
              <w:jc w:val="both"/>
              <w:rPr>
                <w:rFonts w:eastAsia="宋体"/>
                <w:sz w:val="24"/>
              </w:rPr>
            </w:pPr>
            <w:r>
              <w:rPr>
                <w:rFonts w:hint="eastAsia"/>
                <w:sz w:val="24"/>
              </w:rPr>
              <w:t>1人</w:t>
            </w:r>
          </w:p>
        </w:tc>
        <w:tc>
          <w:tcPr>
            <w:tcW w:w="2019" w:type="dxa"/>
          </w:tcPr>
          <w:p w14:paraId="1001AE52">
            <w:pPr>
              <w:widowControl/>
              <w:ind w:firstLine="720" w:firstLineChars="300"/>
              <w:jc w:val="both"/>
              <w:rPr>
                <w:rFonts w:cs="Times New Roman"/>
                <w:color w:val="000000"/>
                <w:kern w:val="0"/>
                <w:sz w:val="24"/>
                <w:szCs w:val="24"/>
                <w:lang w:bidi="ar"/>
              </w:rPr>
            </w:pPr>
            <w:r>
              <w:rPr>
                <w:rFonts w:hint="eastAsia" w:cs="Times New Roman"/>
                <w:color w:val="000000"/>
                <w:kern w:val="0"/>
                <w:sz w:val="24"/>
                <w:szCs w:val="24"/>
                <w:lang w:bidi="ar"/>
              </w:rPr>
              <w:t>1人</w:t>
            </w:r>
          </w:p>
        </w:tc>
        <w:tc>
          <w:tcPr>
            <w:tcW w:w="1603" w:type="dxa"/>
            <w:vAlign w:val="center"/>
          </w:tcPr>
          <w:p w14:paraId="2B8937FD">
            <w:pPr>
              <w:widowControl/>
              <w:ind w:firstLine="480"/>
              <w:jc w:val="both"/>
              <w:rPr>
                <w:rFonts w:cs="Times New Roman"/>
                <w:color w:val="000000"/>
                <w:kern w:val="0"/>
                <w:sz w:val="24"/>
                <w:szCs w:val="24"/>
                <w:lang w:bidi="ar"/>
              </w:rPr>
            </w:pPr>
            <w:r>
              <w:rPr>
                <w:rFonts w:hint="eastAsia" w:cs="Times New Roman"/>
                <w:color w:val="000000"/>
                <w:kern w:val="0"/>
                <w:sz w:val="24"/>
                <w:szCs w:val="24"/>
                <w:lang w:bidi="ar"/>
              </w:rPr>
              <w:t>3人</w:t>
            </w:r>
          </w:p>
        </w:tc>
      </w:tr>
      <w:tr w14:paraId="41E1C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14:paraId="06771061">
            <w:pPr>
              <w:spacing w:line="360" w:lineRule="auto"/>
              <w:ind w:firstLine="0" w:firstLineChars="0"/>
              <w:jc w:val="center"/>
              <w:rPr>
                <w:rFonts w:eastAsia="宋体"/>
                <w:sz w:val="24"/>
              </w:rPr>
            </w:pPr>
            <w:r>
              <w:rPr>
                <w:rFonts w:hint="eastAsia"/>
                <w:sz w:val="24"/>
              </w:rPr>
              <w:t>晚班</w:t>
            </w:r>
          </w:p>
        </w:tc>
        <w:tc>
          <w:tcPr>
            <w:tcW w:w="2389" w:type="dxa"/>
          </w:tcPr>
          <w:p w14:paraId="20BC18B4">
            <w:pPr>
              <w:widowControl/>
              <w:ind w:firstLine="0" w:firstLineChars="0"/>
              <w:jc w:val="center"/>
              <w:rPr>
                <w:sz w:val="24"/>
              </w:rPr>
            </w:pPr>
            <w:r>
              <w:rPr>
                <w:rFonts w:hint="eastAsia" w:ascii="Times New Roman" w:hAnsi="Times New Roman" w:eastAsia="宋体" w:cs="Times New Roman"/>
                <w:color w:val="000000"/>
                <w:kern w:val="0"/>
                <w:sz w:val="24"/>
                <w:szCs w:val="24"/>
                <w:lang w:bidi="ar"/>
              </w:rPr>
              <w:t>21</w:t>
            </w:r>
            <w:r>
              <w:rPr>
                <w:rFonts w:hint="eastAsia" w:ascii="宋体" w:hAnsi="宋体" w:eastAsia="宋体" w:cs="宋体"/>
                <w:color w:val="000000"/>
                <w:kern w:val="0"/>
                <w:sz w:val="24"/>
                <w:szCs w:val="24"/>
                <w:lang w:bidi="ar"/>
              </w:rPr>
              <w:t>：</w:t>
            </w:r>
            <w:r>
              <w:rPr>
                <w:rFonts w:ascii="Times New Roman" w:hAnsi="Times New Roman" w:eastAsia="宋体" w:cs="Times New Roman"/>
                <w:color w:val="000000"/>
                <w:kern w:val="0"/>
                <w:sz w:val="24"/>
                <w:szCs w:val="24"/>
                <w:lang w:bidi="ar"/>
              </w:rPr>
              <w:t>00</w:t>
            </w:r>
            <w:r>
              <w:rPr>
                <w:rFonts w:hint="eastAsia" w:ascii="Times New Roman" w:hAnsi="Times New Roman" w:eastAsia="宋体" w:cs="Times New Roman"/>
                <w:color w:val="000000"/>
                <w:kern w:val="0"/>
                <w:sz w:val="24"/>
                <w:szCs w:val="24"/>
                <w:lang w:bidi="ar"/>
              </w:rPr>
              <w:t>结束</w:t>
            </w:r>
          </w:p>
        </w:tc>
        <w:tc>
          <w:tcPr>
            <w:tcW w:w="1309" w:type="dxa"/>
          </w:tcPr>
          <w:p w14:paraId="6B0C8575">
            <w:pPr>
              <w:spacing w:line="360" w:lineRule="auto"/>
              <w:ind w:firstLine="480"/>
              <w:jc w:val="center"/>
              <w:rPr>
                <w:sz w:val="24"/>
              </w:rPr>
            </w:pPr>
            <w:r>
              <w:rPr>
                <w:rFonts w:hint="eastAsia"/>
                <w:sz w:val="24"/>
              </w:rPr>
              <w:t>/</w:t>
            </w:r>
          </w:p>
        </w:tc>
        <w:tc>
          <w:tcPr>
            <w:tcW w:w="2019" w:type="dxa"/>
          </w:tcPr>
          <w:p w14:paraId="5A68D210">
            <w:pPr>
              <w:spacing w:line="360" w:lineRule="auto"/>
              <w:ind w:firstLine="480"/>
              <w:jc w:val="center"/>
              <w:rPr>
                <w:sz w:val="24"/>
              </w:rPr>
            </w:pPr>
            <w:r>
              <w:rPr>
                <w:rFonts w:hint="eastAsia"/>
                <w:sz w:val="24"/>
              </w:rPr>
              <w:t>/</w:t>
            </w:r>
          </w:p>
        </w:tc>
        <w:tc>
          <w:tcPr>
            <w:tcW w:w="1603" w:type="dxa"/>
            <w:vAlign w:val="center"/>
          </w:tcPr>
          <w:p w14:paraId="024F93B2">
            <w:pPr>
              <w:spacing w:line="360" w:lineRule="auto"/>
              <w:ind w:firstLine="480"/>
              <w:jc w:val="both"/>
              <w:rPr>
                <w:rFonts w:eastAsia="宋体"/>
                <w:sz w:val="24"/>
              </w:rPr>
            </w:pPr>
            <w:r>
              <w:rPr>
                <w:rFonts w:hint="eastAsia"/>
                <w:sz w:val="24"/>
              </w:rPr>
              <w:t>1人</w:t>
            </w:r>
          </w:p>
        </w:tc>
      </w:tr>
      <w:tr w14:paraId="2586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restart"/>
            <w:vAlign w:val="center"/>
          </w:tcPr>
          <w:p w14:paraId="0E5C5959">
            <w:pPr>
              <w:spacing w:line="360" w:lineRule="auto"/>
              <w:ind w:firstLine="0" w:firstLineChars="0"/>
              <w:jc w:val="center"/>
              <w:rPr>
                <w:rFonts w:ascii="Times New Roman" w:hAnsi="Times New Roman" w:eastAsia="宋体" w:cs="Times New Roman"/>
                <w:sz w:val="24"/>
                <w:szCs w:val="24"/>
              </w:rPr>
            </w:pPr>
            <w:r>
              <w:rPr>
                <w:rFonts w:hint="eastAsia"/>
                <w:sz w:val="24"/>
              </w:rPr>
              <w:t>周末及节假日</w:t>
            </w:r>
          </w:p>
        </w:tc>
        <w:tc>
          <w:tcPr>
            <w:tcW w:w="2389" w:type="dxa"/>
            <w:vAlign w:val="center"/>
          </w:tcPr>
          <w:p w14:paraId="07DC760A">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门诊开放时间</w:t>
            </w:r>
          </w:p>
          <w:p w14:paraId="2FA914C8">
            <w:pPr>
              <w:widowControl/>
              <w:ind w:firstLine="0" w:firstLineChars="0"/>
              <w:jc w:val="center"/>
              <w:rPr>
                <w:rFonts w:ascii="Times New Roman" w:hAnsi="Times New Roman" w:eastAsia="宋体" w:cs="Times New Roman"/>
                <w:sz w:val="24"/>
                <w:szCs w:val="24"/>
              </w:rPr>
            </w:pPr>
            <w:r>
              <w:rPr>
                <w:rFonts w:ascii="Times New Roman" w:hAnsi="Times New Roman" w:eastAsia="宋体" w:cs="Times New Roman"/>
                <w:color w:val="000000"/>
                <w:kern w:val="0"/>
                <w:sz w:val="24"/>
                <w:szCs w:val="24"/>
                <w:lang w:bidi="ar"/>
              </w:rPr>
              <w:t>7:00</w:t>
            </w:r>
            <w:r>
              <w:rPr>
                <w:rFonts w:hint="eastAsia" w:ascii="宋体" w:hAnsi="宋体" w:eastAsia="宋体" w:cs="宋体"/>
                <w:color w:val="000000"/>
                <w:kern w:val="0"/>
                <w:sz w:val="24"/>
                <w:szCs w:val="24"/>
                <w:lang w:bidi="ar"/>
              </w:rPr>
              <w:t>～</w:t>
            </w:r>
            <w:r>
              <w:rPr>
                <w:rFonts w:ascii="Times New Roman" w:hAnsi="Times New Roman" w:eastAsia="宋体" w:cs="Times New Roman"/>
                <w:color w:val="000000"/>
                <w:kern w:val="0"/>
                <w:sz w:val="24"/>
                <w:szCs w:val="24"/>
                <w:lang w:bidi="ar"/>
              </w:rPr>
              <w:t>17:30</w:t>
            </w:r>
          </w:p>
        </w:tc>
        <w:tc>
          <w:tcPr>
            <w:tcW w:w="1309" w:type="dxa"/>
          </w:tcPr>
          <w:p w14:paraId="048F0A83">
            <w:pPr>
              <w:widowControl/>
              <w:ind w:firstLine="480"/>
              <w:jc w:val="center"/>
              <w:rPr>
                <w:rFonts w:ascii="Times New Roman" w:hAnsi="Times New Roman" w:eastAsia="宋体" w:cs="Times New Roman"/>
                <w:sz w:val="24"/>
                <w:szCs w:val="24"/>
              </w:rPr>
            </w:pPr>
            <w:r>
              <w:rPr>
                <w:rFonts w:hint="eastAsia"/>
                <w:sz w:val="24"/>
              </w:rPr>
              <w:t>/</w:t>
            </w:r>
          </w:p>
        </w:tc>
        <w:tc>
          <w:tcPr>
            <w:tcW w:w="2019" w:type="dxa"/>
          </w:tcPr>
          <w:p w14:paraId="7E92EC7F">
            <w:pPr>
              <w:widowControl/>
              <w:ind w:firstLine="480"/>
              <w:jc w:val="center"/>
              <w:rPr>
                <w:rFonts w:hint="eastAsia" w:ascii="宋体" w:hAnsi="宋体" w:eastAsia="宋体" w:cs="宋体"/>
                <w:color w:val="000000"/>
                <w:kern w:val="0"/>
                <w:sz w:val="24"/>
                <w:szCs w:val="24"/>
                <w:lang w:bidi="ar"/>
              </w:rPr>
            </w:pPr>
            <w:r>
              <w:rPr>
                <w:rFonts w:hint="eastAsia"/>
                <w:sz w:val="24"/>
              </w:rPr>
              <w:t>/</w:t>
            </w:r>
          </w:p>
        </w:tc>
        <w:tc>
          <w:tcPr>
            <w:tcW w:w="1603" w:type="dxa"/>
            <w:vAlign w:val="center"/>
          </w:tcPr>
          <w:p w14:paraId="6587CB15">
            <w:pPr>
              <w:widowControl/>
              <w:ind w:firstLine="480"/>
              <w:jc w:val="both"/>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bidi="ar"/>
              </w:rPr>
              <w:t>2人</w:t>
            </w:r>
          </w:p>
        </w:tc>
      </w:tr>
      <w:tr w14:paraId="7D0E1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vMerge w:val="continue"/>
            <w:vAlign w:val="center"/>
          </w:tcPr>
          <w:p w14:paraId="3E0F0A37">
            <w:pPr>
              <w:spacing w:line="360" w:lineRule="auto"/>
              <w:ind w:firstLine="480"/>
              <w:jc w:val="center"/>
              <w:rPr>
                <w:sz w:val="24"/>
              </w:rPr>
            </w:pPr>
          </w:p>
        </w:tc>
        <w:tc>
          <w:tcPr>
            <w:tcW w:w="2389" w:type="dxa"/>
            <w:vAlign w:val="center"/>
          </w:tcPr>
          <w:p w14:paraId="6207A570">
            <w:pPr>
              <w:widowControl/>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门诊未开放时间</w:t>
            </w:r>
          </w:p>
          <w:p w14:paraId="5A62A223">
            <w:pPr>
              <w:widowControl/>
              <w:ind w:firstLine="0" w:firstLineChars="0"/>
              <w:jc w:val="center"/>
              <w:rPr>
                <w:sz w:val="24"/>
              </w:rPr>
            </w:pPr>
            <w:r>
              <w:rPr>
                <w:rFonts w:ascii="Times New Roman" w:hAnsi="Times New Roman" w:eastAsia="宋体" w:cs="Times New Roman"/>
                <w:color w:val="000000"/>
                <w:kern w:val="0"/>
                <w:sz w:val="24"/>
                <w:szCs w:val="24"/>
                <w:lang w:bidi="ar"/>
              </w:rPr>
              <w:t>8:00</w:t>
            </w:r>
            <w:r>
              <w:rPr>
                <w:rFonts w:hint="eastAsia" w:ascii="宋体" w:hAnsi="宋体" w:eastAsia="宋体" w:cs="宋体"/>
                <w:color w:val="000000"/>
                <w:kern w:val="0"/>
                <w:sz w:val="24"/>
                <w:szCs w:val="24"/>
                <w:lang w:bidi="ar"/>
              </w:rPr>
              <w:t>～</w:t>
            </w:r>
            <w:r>
              <w:rPr>
                <w:rFonts w:ascii="Times New Roman" w:hAnsi="Times New Roman" w:eastAsia="宋体" w:cs="Times New Roman"/>
                <w:color w:val="000000"/>
                <w:kern w:val="0"/>
                <w:sz w:val="24"/>
                <w:szCs w:val="24"/>
                <w:lang w:bidi="ar"/>
              </w:rPr>
              <w:t>17:30</w:t>
            </w:r>
          </w:p>
        </w:tc>
        <w:tc>
          <w:tcPr>
            <w:tcW w:w="1309" w:type="dxa"/>
          </w:tcPr>
          <w:p w14:paraId="14F2FA80">
            <w:pPr>
              <w:widowControl/>
              <w:ind w:firstLine="480"/>
              <w:jc w:val="center"/>
              <w:rPr>
                <w:rFonts w:ascii="Times New Roman" w:hAnsi="Times New Roman" w:eastAsia="宋体" w:cs="Times New Roman"/>
                <w:sz w:val="24"/>
                <w:szCs w:val="24"/>
              </w:rPr>
            </w:pPr>
            <w:r>
              <w:rPr>
                <w:rFonts w:hint="eastAsia"/>
                <w:sz w:val="24"/>
              </w:rPr>
              <w:t>/</w:t>
            </w:r>
          </w:p>
        </w:tc>
        <w:tc>
          <w:tcPr>
            <w:tcW w:w="2019" w:type="dxa"/>
          </w:tcPr>
          <w:p w14:paraId="4880B58D">
            <w:pPr>
              <w:widowControl/>
              <w:ind w:firstLine="480"/>
              <w:jc w:val="center"/>
              <w:rPr>
                <w:rFonts w:hint="eastAsia" w:ascii="宋体" w:hAnsi="宋体" w:eastAsia="宋体" w:cs="宋体"/>
                <w:color w:val="000000"/>
                <w:kern w:val="0"/>
                <w:sz w:val="24"/>
                <w:szCs w:val="24"/>
                <w:lang w:bidi="ar"/>
              </w:rPr>
            </w:pPr>
            <w:r>
              <w:rPr>
                <w:rFonts w:hint="eastAsia"/>
                <w:sz w:val="24"/>
              </w:rPr>
              <w:t>/</w:t>
            </w:r>
          </w:p>
        </w:tc>
        <w:tc>
          <w:tcPr>
            <w:tcW w:w="1603" w:type="dxa"/>
            <w:vAlign w:val="center"/>
          </w:tcPr>
          <w:p w14:paraId="0CC1ACC8">
            <w:pPr>
              <w:widowControl/>
              <w:ind w:firstLine="480"/>
              <w:jc w:val="both"/>
              <w:rPr>
                <w:rFonts w:hint="eastAsia" w:ascii="宋体" w:hAnsi="宋体" w:eastAsia="宋体" w:cs="宋体"/>
                <w:color w:val="000000"/>
                <w:kern w:val="0"/>
                <w:sz w:val="24"/>
                <w:szCs w:val="24"/>
                <w:lang w:bidi="ar"/>
              </w:rPr>
            </w:pPr>
            <w:r>
              <w:rPr>
                <w:rFonts w:hint="eastAsia" w:ascii="宋体" w:hAnsi="宋体" w:cs="宋体"/>
                <w:color w:val="000000"/>
                <w:kern w:val="0"/>
                <w:sz w:val="24"/>
                <w:szCs w:val="24"/>
                <w:lang w:bidi="ar"/>
              </w:rPr>
              <w:t>1人</w:t>
            </w:r>
          </w:p>
        </w:tc>
      </w:tr>
    </w:tbl>
    <w:p w14:paraId="219CA3BE">
      <w:pPr>
        <w:spacing w:line="360" w:lineRule="auto"/>
        <w:ind w:firstLine="480"/>
        <w:rPr>
          <w:sz w:val="24"/>
        </w:rPr>
      </w:pPr>
      <w:r>
        <w:rPr>
          <w:rFonts w:hint="eastAsia"/>
          <w:sz w:val="24"/>
        </w:rPr>
        <w:t>主要涉及的系统和服务内容如下：</w:t>
      </w:r>
    </w:p>
    <w:tbl>
      <w:tblPr>
        <w:tblStyle w:val="7"/>
        <w:tblW w:w="870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4"/>
        <w:gridCol w:w="6431"/>
      </w:tblGrid>
      <w:tr w14:paraId="127B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vAlign w:val="center"/>
          </w:tcPr>
          <w:p w14:paraId="11427EA0">
            <w:pPr>
              <w:spacing w:line="360" w:lineRule="auto"/>
              <w:ind w:firstLine="480"/>
              <w:jc w:val="both"/>
              <w:rPr>
                <w:sz w:val="24"/>
              </w:rPr>
            </w:pPr>
            <w:r>
              <w:rPr>
                <w:rFonts w:hint="eastAsia"/>
                <w:sz w:val="24"/>
              </w:rPr>
              <w:t>岗位名称</w:t>
            </w:r>
          </w:p>
        </w:tc>
        <w:tc>
          <w:tcPr>
            <w:tcW w:w="6431" w:type="dxa"/>
          </w:tcPr>
          <w:p w14:paraId="3F00885B">
            <w:pPr>
              <w:spacing w:line="360" w:lineRule="auto"/>
              <w:ind w:firstLine="0" w:firstLineChars="0"/>
              <w:jc w:val="center"/>
              <w:rPr>
                <w:sz w:val="24"/>
              </w:rPr>
            </w:pPr>
            <w:r>
              <w:rPr>
                <w:rFonts w:hint="eastAsia"/>
                <w:sz w:val="24"/>
              </w:rPr>
              <w:t>岗位及人员要求描述</w:t>
            </w:r>
          </w:p>
        </w:tc>
      </w:tr>
      <w:tr w14:paraId="08FE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vAlign w:val="center"/>
          </w:tcPr>
          <w:p w14:paraId="369E9681">
            <w:pPr>
              <w:spacing w:line="360" w:lineRule="auto"/>
              <w:ind w:firstLine="0" w:firstLineChars="0"/>
              <w:jc w:val="center"/>
              <w:rPr>
                <w:sz w:val="24"/>
              </w:rPr>
            </w:pPr>
            <w:r>
              <w:rPr>
                <w:rFonts w:hint="eastAsia"/>
                <w:sz w:val="24"/>
              </w:rPr>
              <w:t>热线服务台工程师</w:t>
            </w:r>
          </w:p>
        </w:tc>
        <w:tc>
          <w:tcPr>
            <w:tcW w:w="6431" w:type="dxa"/>
          </w:tcPr>
          <w:p w14:paraId="7D0095C5">
            <w:pPr>
              <w:spacing w:line="360" w:lineRule="auto"/>
              <w:ind w:firstLine="0" w:firstLineChars="0"/>
              <w:rPr>
                <w:sz w:val="24"/>
              </w:rPr>
            </w:pPr>
            <w:r>
              <w:rPr>
                <w:rFonts w:hint="eastAsia"/>
                <w:sz w:val="24"/>
              </w:rPr>
              <w:t>具有三年以上计算机相关工作经验；</w:t>
            </w:r>
          </w:p>
          <w:p w14:paraId="1A7EAEA4">
            <w:pPr>
              <w:spacing w:line="360" w:lineRule="auto"/>
              <w:ind w:firstLine="0" w:firstLineChars="0"/>
              <w:rPr>
                <w:sz w:val="24"/>
              </w:rPr>
            </w:pPr>
            <w:r>
              <w:rPr>
                <w:rFonts w:hint="eastAsia"/>
                <w:sz w:val="24"/>
              </w:rPr>
              <w:t>能够在线处理简单问题。</w:t>
            </w:r>
          </w:p>
        </w:tc>
      </w:tr>
      <w:tr w14:paraId="54B89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vAlign w:val="center"/>
          </w:tcPr>
          <w:p w14:paraId="25415D12">
            <w:pPr>
              <w:spacing w:line="360" w:lineRule="auto"/>
              <w:ind w:firstLine="0" w:firstLineChars="0"/>
              <w:jc w:val="center"/>
              <w:rPr>
                <w:sz w:val="24"/>
              </w:rPr>
            </w:pPr>
            <w:r>
              <w:rPr>
                <w:rFonts w:hint="eastAsia"/>
                <w:sz w:val="24"/>
              </w:rPr>
              <w:t>桌面运维工程师</w:t>
            </w:r>
          </w:p>
        </w:tc>
        <w:tc>
          <w:tcPr>
            <w:tcW w:w="6431" w:type="dxa"/>
          </w:tcPr>
          <w:p w14:paraId="2244CD06">
            <w:pPr>
              <w:pStyle w:val="2"/>
              <w:rPr>
                <w:rFonts w:hint="eastAsia"/>
              </w:rPr>
            </w:pPr>
          </w:p>
          <w:p w14:paraId="4F8AFE79">
            <w:pPr>
              <w:pStyle w:val="2"/>
              <w:rPr>
                <w:rFonts w:hint="eastAsia"/>
              </w:rPr>
            </w:pPr>
          </w:p>
          <w:p w14:paraId="62639909">
            <w:pPr>
              <w:widowControl/>
              <w:numPr>
                <w:ilvl w:val="0"/>
                <w:numId w:val="2"/>
              </w:numPr>
              <w:ind w:firstLine="480"/>
              <w:rPr>
                <w:rFonts w:ascii="宋体" w:hAnsi="宋体" w:eastAsia="宋体" w:cs="宋体"/>
                <w:sz w:val="24"/>
                <w:szCs w:val="24"/>
              </w:rPr>
            </w:pPr>
            <w:r>
              <w:rPr>
                <w:rFonts w:hint="eastAsia" w:ascii="宋体" w:hAnsi="宋体" w:eastAsia="宋体" w:cs="宋体"/>
                <w:sz w:val="24"/>
                <w:szCs w:val="24"/>
              </w:rPr>
              <w:t>具有三年以上桌面运维工作经验者 1</w:t>
            </w:r>
            <w:r>
              <w:rPr>
                <w:rFonts w:ascii="宋体" w:hAnsi="宋体" w:eastAsia="宋体" w:cs="宋体"/>
                <w:sz w:val="24"/>
                <w:szCs w:val="24"/>
              </w:rPr>
              <w:t xml:space="preserve"> </w:t>
            </w:r>
            <w:r>
              <w:rPr>
                <w:rFonts w:hint="eastAsia" w:ascii="宋体" w:hAnsi="宋体" w:eastAsia="宋体" w:cs="宋体"/>
                <w:sz w:val="24"/>
                <w:szCs w:val="24"/>
              </w:rPr>
              <w:t>人（含兼职项</w:t>
            </w:r>
          </w:p>
          <w:p w14:paraId="579C4ABD">
            <w:pPr>
              <w:widowControl/>
              <w:ind w:firstLine="0" w:firstLineChars="0"/>
              <w:rPr>
                <w:rFonts w:hint="eastAsia" w:ascii="宋体" w:hAnsi="宋体" w:eastAsia="宋体" w:cs="宋体"/>
                <w:sz w:val="24"/>
                <w:szCs w:val="24"/>
              </w:rPr>
            </w:pPr>
            <w:r>
              <w:rPr>
                <w:rFonts w:hint="eastAsia" w:ascii="宋体" w:hAnsi="宋体" w:eastAsia="宋体" w:cs="宋体"/>
                <w:sz w:val="24"/>
                <w:szCs w:val="24"/>
              </w:rPr>
              <w:t xml:space="preserve">目组组长 </w:t>
            </w:r>
            <w:r>
              <w:rPr>
                <w:rFonts w:ascii="宋体" w:hAnsi="宋体" w:eastAsia="宋体" w:cs="宋体"/>
                <w:sz w:val="24"/>
                <w:szCs w:val="24"/>
              </w:rPr>
              <w:t xml:space="preserve">1 </w:t>
            </w:r>
            <w:r>
              <w:rPr>
                <w:rFonts w:hint="eastAsia" w:ascii="宋体" w:hAnsi="宋体" w:eastAsia="宋体" w:cs="宋体"/>
                <w:sz w:val="24"/>
                <w:szCs w:val="24"/>
              </w:rPr>
              <w:t>人，负责现场管理工作）；</w:t>
            </w:r>
          </w:p>
          <w:p w14:paraId="21EC0E47">
            <w:pPr>
              <w:widowControl/>
              <w:numPr>
                <w:ilvl w:val="0"/>
                <w:numId w:val="2"/>
              </w:numPr>
              <w:ind w:firstLine="480"/>
              <w:rPr>
                <w:rFonts w:hint="eastAsia" w:ascii="宋体" w:hAnsi="宋体" w:eastAsia="宋体" w:cs="宋体"/>
                <w:sz w:val="24"/>
                <w:szCs w:val="24"/>
              </w:rPr>
            </w:pPr>
            <w:r>
              <w:rPr>
                <w:rFonts w:hint="eastAsia" w:ascii="宋体" w:hAnsi="宋体" w:eastAsia="宋体" w:cs="宋体"/>
                <w:sz w:val="24"/>
                <w:szCs w:val="24"/>
              </w:rPr>
              <w:t>具有一年以上桌面运维工作经验者 2人</w:t>
            </w:r>
          </w:p>
          <w:p w14:paraId="77EC768F">
            <w:pPr>
              <w:widowControl/>
              <w:numPr>
                <w:ilvl w:val="0"/>
                <w:numId w:val="2"/>
              </w:numPr>
              <w:ind w:firstLine="480"/>
              <w:rPr>
                <w:sz w:val="24"/>
              </w:rPr>
            </w:pPr>
            <w:r>
              <w:rPr>
                <w:rFonts w:hint="eastAsia" w:ascii="宋体" w:hAnsi="宋体" w:eastAsia="宋体" w:cs="宋体"/>
                <w:sz w:val="24"/>
                <w:szCs w:val="24"/>
              </w:rPr>
              <w:t>至少有1人具有1年以上自助机运维经验；</w:t>
            </w:r>
          </w:p>
          <w:p w14:paraId="458D31B4">
            <w:pPr>
              <w:widowControl/>
              <w:numPr>
                <w:ilvl w:val="0"/>
                <w:numId w:val="2"/>
              </w:numPr>
              <w:ind w:firstLine="480"/>
              <w:rPr>
                <w:sz w:val="24"/>
              </w:rPr>
            </w:pPr>
            <w:r>
              <w:rPr>
                <w:rFonts w:hint="eastAsia" w:ascii="宋体" w:hAnsi="宋体" w:eastAsia="宋体" w:cs="宋体"/>
                <w:sz w:val="24"/>
                <w:szCs w:val="24"/>
              </w:rPr>
              <w:t>驻场工</w:t>
            </w:r>
            <w:r>
              <w:rPr>
                <w:rFonts w:hint="eastAsia" w:ascii="宋体" w:hAnsi="宋体" w:eastAsia="宋体" w:cs="宋体"/>
                <w:color w:val="000000"/>
                <w:kern w:val="0"/>
                <w:sz w:val="24"/>
                <w:szCs w:val="24"/>
                <w:lang w:bidi="ar"/>
              </w:rPr>
              <w:t>程师需具备计算机技术相关技能。</w:t>
            </w:r>
          </w:p>
        </w:tc>
      </w:tr>
      <w:tr w14:paraId="6582D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tcPr>
          <w:p w14:paraId="4804DED5">
            <w:pPr>
              <w:spacing w:line="360" w:lineRule="auto"/>
              <w:ind w:firstLine="0" w:firstLineChars="0"/>
              <w:jc w:val="center"/>
              <w:rPr>
                <w:sz w:val="24"/>
              </w:rPr>
            </w:pPr>
            <w:r>
              <w:rPr>
                <w:rFonts w:hint="eastAsia"/>
                <w:sz w:val="24"/>
              </w:rPr>
              <w:t>硬件设备维修工程师</w:t>
            </w:r>
          </w:p>
        </w:tc>
        <w:tc>
          <w:tcPr>
            <w:tcW w:w="6431" w:type="dxa"/>
          </w:tcPr>
          <w:p w14:paraId="7DE56C90">
            <w:pPr>
              <w:spacing w:line="360" w:lineRule="auto"/>
              <w:ind w:firstLine="0" w:firstLineChars="0"/>
              <w:rPr>
                <w:sz w:val="24"/>
              </w:rPr>
            </w:pPr>
            <w:r>
              <w:rPr>
                <w:rFonts w:hint="eastAsia"/>
                <w:sz w:val="24"/>
              </w:rPr>
              <w:t>三年以上IT设备维修经验，具备计算机技术相关技能。</w:t>
            </w:r>
          </w:p>
        </w:tc>
      </w:tr>
      <w:tr w14:paraId="7113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4" w:type="dxa"/>
            <w:vAlign w:val="center"/>
          </w:tcPr>
          <w:p w14:paraId="66D985DF">
            <w:pPr>
              <w:spacing w:line="360" w:lineRule="auto"/>
              <w:ind w:firstLine="0" w:firstLineChars="0"/>
              <w:jc w:val="center"/>
              <w:rPr>
                <w:rFonts w:ascii="Times New Roman" w:hAnsi="Times New Roman" w:eastAsia="宋体" w:cs="Times New Roman"/>
                <w:sz w:val="24"/>
                <w:szCs w:val="24"/>
              </w:rPr>
            </w:pPr>
            <w:r>
              <w:rPr>
                <w:rFonts w:hint="eastAsia"/>
                <w:sz w:val="24"/>
              </w:rPr>
              <w:t>项目经理</w:t>
            </w:r>
          </w:p>
        </w:tc>
        <w:tc>
          <w:tcPr>
            <w:tcW w:w="6431" w:type="dxa"/>
          </w:tcPr>
          <w:p w14:paraId="41F1B758">
            <w:pPr>
              <w:widowControl/>
              <w:ind w:firstLine="0" w:firstLineChars="0"/>
              <w:rPr>
                <w:rFonts w:ascii="Times New Roman" w:hAnsi="Times New Roman" w:eastAsia="宋体" w:cs="Times New Roman"/>
                <w:sz w:val="24"/>
                <w:szCs w:val="24"/>
              </w:rPr>
            </w:pPr>
            <w:r>
              <w:rPr>
                <w:rFonts w:hint="eastAsia" w:ascii="宋体" w:hAnsi="宋体" w:eastAsia="宋体" w:cs="宋体"/>
                <w:color w:val="000000"/>
                <w:kern w:val="0"/>
                <w:sz w:val="24"/>
                <w:szCs w:val="24"/>
                <w:lang w:bidi="ar"/>
              </w:rPr>
              <w:t xml:space="preserve">项目经理 </w:t>
            </w:r>
            <w:r>
              <w:rPr>
                <w:rFonts w:ascii="Times New Roman" w:hAnsi="Times New Roman" w:eastAsia="宋体" w:cs="Times New Roman"/>
                <w:color w:val="000000"/>
                <w:kern w:val="0"/>
                <w:sz w:val="24"/>
                <w:szCs w:val="24"/>
                <w:lang w:bidi="ar"/>
              </w:rPr>
              <w:t xml:space="preserve">1 </w:t>
            </w:r>
            <w:r>
              <w:rPr>
                <w:rFonts w:hint="eastAsia" w:ascii="宋体" w:hAnsi="宋体" w:eastAsia="宋体" w:cs="宋体"/>
                <w:color w:val="000000"/>
                <w:kern w:val="0"/>
                <w:sz w:val="24"/>
                <w:szCs w:val="24"/>
                <w:lang w:bidi="ar"/>
              </w:rPr>
              <w:t>人，负责项目组管理及与甲方工作对接。</w:t>
            </w:r>
          </w:p>
        </w:tc>
      </w:tr>
    </w:tbl>
    <w:p w14:paraId="14BE0C2B">
      <w:pPr>
        <w:spacing w:line="360" w:lineRule="auto"/>
        <w:ind w:firstLine="480"/>
        <w:rPr>
          <w:rFonts w:ascii="Times New Roman" w:hAnsi="Times New Roman" w:cs="Times New Roman"/>
          <w:sz w:val="24"/>
        </w:rPr>
      </w:pPr>
      <w:r>
        <w:rPr>
          <w:rFonts w:hint="eastAsia" w:ascii="Times New Roman" w:hAnsi="Times New Roman" w:cs="Times New Roman"/>
          <w:sz w:val="24"/>
        </w:rPr>
        <w:t xml:space="preserve">投标人应提供项目管理软件(含手机和终端工单管理软件），完成派发工单及评估测算、故障分析、监控工作质量、统计工作量及工作报表、员工培训等运维管理。 </w:t>
      </w:r>
    </w:p>
    <w:p w14:paraId="59E5837E">
      <w:pPr>
        <w:spacing w:line="360" w:lineRule="auto"/>
        <w:ind w:firstLine="480"/>
        <w:rPr>
          <w:rFonts w:ascii="Times New Roman" w:hAnsi="Times New Roman" w:cs="Times New Roman"/>
          <w:sz w:val="24"/>
        </w:rPr>
      </w:pPr>
      <w:r>
        <w:rPr>
          <w:rFonts w:hint="eastAsia" w:ascii="Times New Roman" w:hAnsi="Times New Roman" w:cs="Times New Roman"/>
          <w:sz w:val="24"/>
        </w:rPr>
        <w:t xml:space="preserve">投标人需要提供项目经理及拟驻场的运维人员名单、身份证明、专业技术、工作经验等情况，合同签订后限定 </w:t>
      </w:r>
      <w:r>
        <w:rPr>
          <w:rFonts w:ascii="Times New Roman" w:hAnsi="Times New Roman" w:cs="Times New Roman"/>
          <w:sz w:val="24"/>
        </w:rPr>
        <w:t xml:space="preserve">2 </w:t>
      </w:r>
      <w:r>
        <w:rPr>
          <w:rFonts w:hint="eastAsia" w:ascii="Times New Roman" w:hAnsi="Times New Roman" w:cs="Times New Roman"/>
          <w:sz w:val="24"/>
        </w:rPr>
        <w:t xml:space="preserve">周内完成所有团队人员入场，入场人员与投标文件中信息不符的，招标人有权直接废除中标人及所签约合同。 </w:t>
      </w:r>
    </w:p>
    <w:p w14:paraId="54F2699D">
      <w:pPr>
        <w:spacing w:line="360" w:lineRule="auto"/>
        <w:ind w:firstLine="480"/>
        <w:rPr>
          <w:sz w:val="24"/>
        </w:rPr>
      </w:pPr>
      <w:r>
        <w:rPr>
          <w:rFonts w:hint="eastAsia" w:ascii="Times New Roman" w:hAnsi="Times New Roman" w:cs="Times New Roman"/>
          <w:sz w:val="24"/>
        </w:rPr>
        <w:t xml:space="preserve">运维期间如乙方未履行合同中的约定，甲方有权单方解除合同，合同自甲方书面通知到达投标人之日起 </w:t>
      </w:r>
      <w:r>
        <w:rPr>
          <w:rFonts w:ascii="Times New Roman" w:hAnsi="Times New Roman" w:cs="Times New Roman"/>
          <w:sz w:val="24"/>
        </w:rPr>
        <w:t xml:space="preserve">1 </w:t>
      </w:r>
      <w:r>
        <w:rPr>
          <w:rFonts w:hint="eastAsia" w:ascii="Times New Roman" w:hAnsi="Times New Roman" w:cs="Times New Roman"/>
          <w:sz w:val="24"/>
        </w:rPr>
        <w:t>个月终止，甲方无需承担任何责任。</w:t>
      </w:r>
    </w:p>
    <w:p w14:paraId="72CA9B00">
      <w:pPr>
        <w:numPr>
          <w:ilvl w:val="0"/>
          <w:numId w:val="1"/>
        </w:numPr>
        <w:spacing w:line="360" w:lineRule="auto"/>
        <w:ind w:firstLineChars="0"/>
        <w:outlineLvl w:val="0"/>
        <w:rPr>
          <w:b/>
          <w:sz w:val="24"/>
        </w:rPr>
      </w:pPr>
      <w:r>
        <w:rPr>
          <w:rFonts w:hint="eastAsia"/>
          <w:b/>
          <w:sz w:val="24"/>
        </w:rPr>
        <w:t>运维服务职责</w:t>
      </w:r>
    </w:p>
    <w:p w14:paraId="61A94F93">
      <w:pPr>
        <w:spacing w:line="360" w:lineRule="auto"/>
        <w:ind w:firstLine="480"/>
        <w:rPr>
          <w:sz w:val="24"/>
        </w:rPr>
      </w:pPr>
      <w:r>
        <w:rPr>
          <w:rFonts w:hint="eastAsia"/>
          <w:sz w:val="24"/>
        </w:rPr>
        <w:t>投标人需要拥有专业的IT运维队伍，具有丰富的运维经验，熟悉医院IT基础设施运维工作。公司应根据我院项目信息及需求，提交桌面终端运维方案，方案要适合我院的实际，符合我院IT运维支持体系管理要求。</w:t>
      </w:r>
    </w:p>
    <w:p w14:paraId="375EAEEB">
      <w:pPr>
        <w:spacing w:line="360" w:lineRule="auto"/>
        <w:ind w:firstLine="480"/>
        <w:rPr>
          <w:sz w:val="24"/>
        </w:rPr>
      </w:pPr>
      <w:r>
        <w:rPr>
          <w:rFonts w:hint="eastAsia"/>
          <w:sz w:val="24"/>
        </w:rPr>
        <w:t>投标人主要任务是负责肿瘤医院廊坊院区的终端硬件、操作系统、网络测试、应用软件安装、病毒查杀等终端桌面运维服务。目前，廊坊院区信息各类电脑900余台；各类打印机、读卡器、扫描枪等设备近900台；PDA近200台；自助机终端50余台；移动护理推车21台。</w:t>
      </w:r>
      <w:r>
        <w:rPr>
          <w:sz w:val="24"/>
        </w:rPr>
        <w:t>日常工作</w:t>
      </w:r>
      <w:r>
        <w:rPr>
          <w:rFonts w:hint="eastAsia"/>
          <w:sz w:val="24"/>
        </w:rPr>
        <w:t>负责</w:t>
      </w:r>
      <w:r>
        <w:rPr>
          <w:sz w:val="24"/>
        </w:rPr>
        <w:t>各系统的</w:t>
      </w:r>
      <w:r>
        <w:rPr>
          <w:rFonts w:hint="eastAsia"/>
          <w:sz w:val="24"/>
        </w:rPr>
        <w:t>桌面</w:t>
      </w:r>
      <w:r>
        <w:rPr>
          <w:sz w:val="24"/>
        </w:rPr>
        <w:t>运</w:t>
      </w:r>
      <w:r>
        <w:rPr>
          <w:rFonts w:hint="eastAsia"/>
          <w:sz w:val="24"/>
        </w:rPr>
        <w:t>维</w:t>
      </w:r>
      <w:r>
        <w:rPr>
          <w:sz w:val="24"/>
        </w:rPr>
        <w:t>和巡检，排除用户遇到的各类计算机及外设故障；完成相关</w:t>
      </w:r>
      <w:r>
        <w:rPr>
          <w:rFonts w:hint="eastAsia"/>
          <w:sz w:val="24"/>
        </w:rPr>
        <w:t>软件</w:t>
      </w:r>
      <w:r>
        <w:rPr>
          <w:sz w:val="24"/>
        </w:rPr>
        <w:t>维护</w:t>
      </w:r>
      <w:r>
        <w:rPr>
          <w:rFonts w:hint="eastAsia"/>
          <w:sz w:val="24"/>
        </w:rPr>
        <w:t>与</w:t>
      </w:r>
      <w:r>
        <w:rPr>
          <w:sz w:val="24"/>
        </w:rPr>
        <w:t>硬件维修，保修期内或保外不能自行维修的，</w:t>
      </w:r>
      <w:r>
        <w:rPr>
          <w:rFonts w:hint="eastAsia"/>
          <w:sz w:val="24"/>
        </w:rPr>
        <w:t>投标人派驻工程师提供硬件的日常维修工作</w:t>
      </w:r>
      <w:r>
        <w:rPr>
          <w:sz w:val="24"/>
        </w:rPr>
        <w:t>；完成IT设备资产及配置登记</w:t>
      </w:r>
      <w:r>
        <w:rPr>
          <w:rFonts w:hint="eastAsia"/>
          <w:sz w:val="24"/>
        </w:rPr>
        <w:t>；定期向信息中心提交日常工作计划、运维工作总结，运维人员季度考核情况和整理相关服务技术文档。</w:t>
      </w:r>
    </w:p>
    <w:p w14:paraId="46693228">
      <w:pPr>
        <w:numPr>
          <w:ilvl w:val="0"/>
          <w:numId w:val="1"/>
        </w:numPr>
        <w:spacing w:line="360" w:lineRule="auto"/>
        <w:ind w:firstLineChars="0"/>
        <w:outlineLvl w:val="0"/>
        <w:rPr>
          <w:rFonts w:ascii="Times New Roman" w:hAnsi="Times New Roman" w:cs="Times New Roman"/>
          <w:b/>
          <w:sz w:val="24"/>
        </w:rPr>
      </w:pPr>
      <w:r>
        <w:rPr>
          <w:rFonts w:hint="eastAsia" w:ascii="Times New Roman" w:hAnsi="Times New Roman" w:cs="Times New Roman"/>
          <w:b/>
          <w:sz w:val="24"/>
        </w:rPr>
        <w:t>运维服务工作内容</w:t>
      </w:r>
    </w:p>
    <w:p w14:paraId="4CB5F8A1">
      <w:pPr>
        <w:numPr>
          <w:ilvl w:val="0"/>
          <w:numId w:val="3"/>
        </w:numPr>
        <w:spacing w:line="360" w:lineRule="auto"/>
        <w:ind w:firstLineChars="0"/>
        <w:outlineLvl w:val="1"/>
        <w:rPr>
          <w:b/>
          <w:sz w:val="24"/>
        </w:rPr>
      </w:pPr>
      <w:r>
        <w:rPr>
          <w:rFonts w:hint="eastAsia"/>
          <w:b/>
          <w:sz w:val="24"/>
        </w:rPr>
        <w:t>服务台支持</w:t>
      </w:r>
    </w:p>
    <w:p w14:paraId="7C1018FE">
      <w:pPr>
        <w:spacing w:line="360" w:lineRule="auto"/>
        <w:ind w:firstLine="480"/>
        <w:rPr>
          <w:b/>
          <w:sz w:val="24"/>
        </w:rPr>
      </w:pPr>
      <w:r>
        <w:rPr>
          <w:rFonts w:hint="eastAsia"/>
          <w:sz w:val="24"/>
        </w:rPr>
        <w:t>热线工程师，负责接听报障电话，提供一线技术支持和咨询服务；对一线不能解决的故障，根据用户申报内容，向二线工程师派发工单，并跟踪工单的执行情况。每个工单处理完毕后，进行用户回访。定期做工单的统计和故障分析。</w:t>
      </w:r>
    </w:p>
    <w:p w14:paraId="109BC6AE">
      <w:pPr>
        <w:numPr>
          <w:ilvl w:val="0"/>
          <w:numId w:val="3"/>
        </w:numPr>
        <w:spacing w:line="360" w:lineRule="auto"/>
        <w:ind w:firstLineChars="0"/>
        <w:outlineLvl w:val="1"/>
        <w:rPr>
          <w:b/>
          <w:sz w:val="24"/>
        </w:rPr>
      </w:pPr>
      <w:r>
        <w:rPr>
          <w:rFonts w:hint="eastAsia"/>
          <w:b/>
          <w:sz w:val="24"/>
        </w:rPr>
        <w:t>终端硬件运维</w:t>
      </w:r>
    </w:p>
    <w:p w14:paraId="4321C52C">
      <w:pPr>
        <w:spacing w:line="360" w:lineRule="auto"/>
        <w:ind w:left="365" w:leftChars="114" w:firstLine="240" w:firstLineChars="100"/>
        <w:rPr>
          <w:sz w:val="24"/>
        </w:rPr>
      </w:pPr>
      <w:r>
        <w:rPr>
          <w:rFonts w:hint="eastAsia"/>
          <w:sz w:val="24"/>
        </w:rPr>
        <w:t>派驻专业硬件工程师在现场进行服务，需为肿瘤医院廊坊院区的终端桌面设备：包括但不限于计算机主机、计算机显示器、自助机终端、各类打印机、扫描枪、读卡器</w:t>
      </w:r>
      <w:r>
        <w:rPr>
          <w:rFonts w:hint="eastAsia" w:ascii="Times New Roman" w:hAnsi="Times New Roman" w:cs="Times New Roman"/>
          <w:sz w:val="24"/>
        </w:rPr>
        <w:t>等信息系统桌面终端设备提供硬件维修服务。</w:t>
      </w:r>
    </w:p>
    <w:p w14:paraId="0195F929">
      <w:pPr>
        <w:numPr>
          <w:ilvl w:val="0"/>
          <w:numId w:val="4"/>
        </w:numPr>
        <w:spacing w:line="360" w:lineRule="auto"/>
        <w:ind w:firstLineChars="0"/>
        <w:rPr>
          <w:sz w:val="24"/>
        </w:rPr>
      </w:pPr>
      <w:r>
        <w:rPr>
          <w:rFonts w:hint="eastAsia"/>
          <w:sz w:val="24"/>
        </w:rPr>
        <w:t>负责终端用户的桌面IT设备的更换与维修；</w:t>
      </w:r>
    </w:p>
    <w:p w14:paraId="71845B01">
      <w:pPr>
        <w:numPr>
          <w:ilvl w:val="0"/>
          <w:numId w:val="4"/>
        </w:numPr>
        <w:spacing w:line="360" w:lineRule="auto"/>
        <w:ind w:firstLineChars="0"/>
        <w:rPr>
          <w:sz w:val="24"/>
        </w:rPr>
      </w:pPr>
      <w:r>
        <w:rPr>
          <w:rFonts w:hint="eastAsia"/>
          <w:sz w:val="24"/>
        </w:rPr>
        <w:t>负责终端用户的桌面IT设备向原厂进行报修并跟踪处理情况；</w:t>
      </w:r>
    </w:p>
    <w:p w14:paraId="7DA42FA5">
      <w:pPr>
        <w:numPr>
          <w:ilvl w:val="0"/>
          <w:numId w:val="4"/>
        </w:numPr>
        <w:spacing w:line="360" w:lineRule="auto"/>
        <w:ind w:firstLineChars="0"/>
        <w:rPr>
          <w:sz w:val="24"/>
        </w:rPr>
      </w:pPr>
      <w:r>
        <w:rPr>
          <w:rFonts w:hint="eastAsia"/>
          <w:sz w:val="24"/>
        </w:rPr>
        <w:t>负责更换及维修信息系统配备的台式机电脑、激光打印机、多功能一体打印机、条码打印机、热敏打印机、针式打印机、扫描抢、读卡器的设备配件等；</w:t>
      </w:r>
    </w:p>
    <w:p w14:paraId="1EC4C31B">
      <w:pPr>
        <w:numPr>
          <w:ilvl w:val="0"/>
          <w:numId w:val="4"/>
        </w:numPr>
        <w:spacing w:line="360" w:lineRule="auto"/>
        <w:ind w:firstLineChars="0"/>
        <w:rPr>
          <w:sz w:val="24"/>
        </w:rPr>
      </w:pPr>
      <w:r>
        <w:rPr>
          <w:rFonts w:hint="eastAsia"/>
          <w:sz w:val="24"/>
        </w:rPr>
        <w:t>投标人承担所有（非智能自助终端）设备的零配件的采购任务，所有涉及硬件维修、配件更换、备件库存等费用，均包含在投标的服务总报价中，招标人不另行支付费用，硬件工程师负责对备品备件进行登记、文档管理。</w:t>
      </w:r>
    </w:p>
    <w:p w14:paraId="7D7DA784">
      <w:pPr>
        <w:numPr>
          <w:ilvl w:val="0"/>
          <w:numId w:val="3"/>
        </w:numPr>
        <w:spacing w:line="360" w:lineRule="auto"/>
        <w:ind w:firstLineChars="0"/>
        <w:outlineLvl w:val="1"/>
        <w:rPr>
          <w:b/>
          <w:sz w:val="24"/>
        </w:rPr>
      </w:pPr>
      <w:r>
        <w:rPr>
          <w:rFonts w:hint="eastAsia"/>
          <w:b/>
          <w:sz w:val="24"/>
        </w:rPr>
        <w:t>终端桌面软件环境运维</w:t>
      </w:r>
    </w:p>
    <w:p w14:paraId="58906272">
      <w:pPr>
        <w:spacing w:line="360" w:lineRule="auto"/>
        <w:ind w:firstLine="480"/>
        <w:rPr>
          <w:sz w:val="24"/>
        </w:rPr>
      </w:pPr>
      <w:r>
        <w:rPr>
          <w:rFonts w:hint="eastAsia"/>
          <w:sz w:val="24"/>
        </w:rPr>
        <w:t>派驻技术工程师对用户进行桌面系统运行保障，在指定服务地点现场支持响应、持续不间断服务。严格按照医院制定的《终端计算机系统软件环境安装规范》进行安装。</w:t>
      </w:r>
    </w:p>
    <w:p w14:paraId="361D940B">
      <w:pPr>
        <w:numPr>
          <w:ilvl w:val="0"/>
          <w:numId w:val="5"/>
        </w:numPr>
        <w:spacing w:line="360" w:lineRule="auto"/>
        <w:ind w:firstLineChars="0"/>
        <w:outlineLvl w:val="2"/>
        <w:rPr>
          <w:sz w:val="24"/>
        </w:rPr>
      </w:pPr>
      <w:r>
        <w:rPr>
          <w:rFonts w:hint="eastAsia"/>
          <w:sz w:val="24"/>
        </w:rPr>
        <w:t>操作系统运维</w:t>
      </w:r>
    </w:p>
    <w:p w14:paraId="27C541AA">
      <w:pPr>
        <w:spacing w:line="360" w:lineRule="auto"/>
        <w:ind w:left="1245" w:leftChars="314" w:hanging="240" w:hangingChars="100"/>
        <w:rPr>
          <w:sz w:val="24"/>
        </w:rPr>
      </w:pPr>
      <w:r>
        <w:rPr>
          <w:rFonts w:hint="eastAsia"/>
          <w:sz w:val="24"/>
        </w:rPr>
        <w:t>·计算机操作系统故障维护，包括：计算机无法启动、无法进入系统、运行速度缓慢、经常死机等。</w:t>
      </w:r>
    </w:p>
    <w:p w14:paraId="5574DE2A">
      <w:pPr>
        <w:spacing w:line="360" w:lineRule="auto"/>
        <w:ind w:left="1245" w:leftChars="314" w:hanging="240" w:hangingChars="100"/>
        <w:rPr>
          <w:sz w:val="24"/>
        </w:rPr>
      </w:pPr>
      <w:r>
        <w:rPr>
          <w:rFonts w:hint="eastAsia" w:ascii="Times New Roman" w:hAnsi="Times New Roman" w:cs="Times New Roman"/>
          <w:sz w:val="24"/>
        </w:rPr>
        <w:t>·计算机运行环境新装、重装、安装操作系统、系统补丁及修复、粘贴准入标签等</w:t>
      </w:r>
      <w:r>
        <w:rPr>
          <w:rFonts w:hint="eastAsia"/>
          <w:sz w:val="24"/>
        </w:rPr>
        <w:t>。</w:t>
      </w:r>
    </w:p>
    <w:p w14:paraId="7F7BCF11">
      <w:pPr>
        <w:numPr>
          <w:ilvl w:val="0"/>
          <w:numId w:val="5"/>
        </w:numPr>
        <w:spacing w:line="360" w:lineRule="auto"/>
        <w:ind w:firstLineChars="0"/>
        <w:outlineLvl w:val="2"/>
        <w:rPr>
          <w:sz w:val="24"/>
        </w:rPr>
      </w:pPr>
      <w:r>
        <w:rPr>
          <w:rFonts w:hint="eastAsia"/>
          <w:sz w:val="24"/>
        </w:rPr>
        <w:t>工具软件安装运维</w:t>
      </w:r>
    </w:p>
    <w:p w14:paraId="4BC3A8E6">
      <w:pPr>
        <w:spacing w:line="360" w:lineRule="auto"/>
        <w:ind w:left="1245" w:leftChars="314" w:hanging="240" w:hangingChars="100"/>
        <w:rPr>
          <w:sz w:val="24"/>
        </w:rPr>
      </w:pPr>
      <w:r>
        <w:rPr>
          <w:rFonts w:hint="eastAsia"/>
          <w:sz w:val="24"/>
        </w:rPr>
        <w:t>·安装Office、WinRaR、PDF、输入法等常用办公类软件；</w:t>
      </w:r>
    </w:p>
    <w:p w14:paraId="2C3364C9">
      <w:pPr>
        <w:spacing w:line="360" w:lineRule="auto"/>
        <w:ind w:left="1245" w:leftChars="314" w:hanging="240" w:hangingChars="100"/>
        <w:rPr>
          <w:sz w:val="24"/>
        </w:rPr>
      </w:pPr>
      <w:r>
        <w:rPr>
          <w:rFonts w:hint="eastAsia"/>
          <w:sz w:val="24"/>
        </w:rPr>
        <w:t>·浏览器、电子邮箱、客户端网络等参数设置。</w:t>
      </w:r>
    </w:p>
    <w:p w14:paraId="4AAE35B5">
      <w:pPr>
        <w:numPr>
          <w:ilvl w:val="0"/>
          <w:numId w:val="5"/>
        </w:numPr>
        <w:spacing w:line="360" w:lineRule="auto"/>
        <w:ind w:firstLineChars="0"/>
        <w:outlineLvl w:val="2"/>
        <w:rPr>
          <w:sz w:val="24"/>
        </w:rPr>
      </w:pPr>
      <w:r>
        <w:rPr>
          <w:rFonts w:hint="eastAsia"/>
          <w:sz w:val="24"/>
        </w:rPr>
        <w:t>外设软件安装及配置环境</w:t>
      </w:r>
    </w:p>
    <w:p w14:paraId="184F2D8F">
      <w:pPr>
        <w:spacing w:line="360" w:lineRule="auto"/>
        <w:ind w:left="1245" w:leftChars="314" w:hanging="240" w:hangingChars="100"/>
        <w:rPr>
          <w:sz w:val="24"/>
        </w:rPr>
      </w:pPr>
      <w:r>
        <w:rPr>
          <w:rFonts w:hint="eastAsia"/>
          <w:sz w:val="24"/>
        </w:rPr>
        <w:t>·</w:t>
      </w:r>
      <w:r>
        <w:rPr>
          <w:sz w:val="24"/>
        </w:rPr>
        <w:t>IT</w:t>
      </w:r>
      <w:r>
        <w:rPr>
          <w:rFonts w:hint="eastAsia"/>
          <w:sz w:val="24"/>
        </w:rPr>
        <w:t>桌面终端设备的新安装、配置服务；</w:t>
      </w:r>
    </w:p>
    <w:p w14:paraId="30938165">
      <w:pPr>
        <w:spacing w:line="360" w:lineRule="auto"/>
        <w:ind w:left="1245" w:leftChars="314" w:hanging="240" w:hangingChars="100"/>
        <w:rPr>
          <w:sz w:val="24"/>
        </w:rPr>
      </w:pPr>
      <w:r>
        <w:rPr>
          <w:rFonts w:hint="eastAsia"/>
          <w:sz w:val="24"/>
        </w:rPr>
        <w:t>·安装各类桌面终端设备的驱动程序。</w:t>
      </w:r>
    </w:p>
    <w:p w14:paraId="25D7CD3E">
      <w:pPr>
        <w:numPr>
          <w:ilvl w:val="0"/>
          <w:numId w:val="5"/>
        </w:numPr>
        <w:spacing w:line="360" w:lineRule="auto"/>
        <w:ind w:firstLineChars="0"/>
        <w:outlineLvl w:val="2"/>
        <w:rPr>
          <w:sz w:val="24"/>
        </w:rPr>
      </w:pPr>
      <w:r>
        <w:rPr>
          <w:rFonts w:hint="eastAsia"/>
          <w:sz w:val="24"/>
        </w:rPr>
        <w:t>终端应用软件环境运维</w:t>
      </w:r>
    </w:p>
    <w:p w14:paraId="62E99D49">
      <w:pPr>
        <w:spacing w:line="360" w:lineRule="auto"/>
        <w:ind w:left="1245" w:leftChars="314" w:hanging="240" w:hangingChars="100"/>
        <w:rPr>
          <w:sz w:val="24"/>
        </w:rPr>
      </w:pPr>
      <w:r>
        <w:rPr>
          <w:rFonts w:hint="eastAsia"/>
          <w:sz w:val="24"/>
        </w:rPr>
        <w:t>·负责医院的门诊、病房、医技等业务科室及行政、科研、办公、 HIS 系统、OA 系统、影像系统等软件的基础问题运维工作，基础问题包括但不限于：医生/护士电子病历插件安装、重症监护系统插件安装、收费系统电脑设置、药房系统插件安装、图像调阅问题协调、输血系统打印机插件安装设置、技术类问题初步诊断及转接等。</w:t>
      </w:r>
    </w:p>
    <w:p w14:paraId="3743EA96">
      <w:pPr>
        <w:numPr>
          <w:ilvl w:val="0"/>
          <w:numId w:val="3"/>
        </w:numPr>
        <w:spacing w:line="360" w:lineRule="auto"/>
        <w:ind w:firstLineChars="0"/>
        <w:outlineLvl w:val="1"/>
        <w:rPr>
          <w:b/>
          <w:sz w:val="24"/>
        </w:rPr>
      </w:pPr>
      <w:r>
        <w:rPr>
          <w:rFonts w:hint="eastAsia"/>
          <w:b/>
          <w:sz w:val="24"/>
        </w:rPr>
        <w:t>自助机运维</w:t>
      </w:r>
    </w:p>
    <w:p w14:paraId="438B5A01">
      <w:pPr>
        <w:spacing w:line="360" w:lineRule="auto"/>
        <w:ind w:left="365" w:leftChars="114" w:firstLine="240" w:firstLineChars="100"/>
        <w:rPr>
          <w:sz w:val="24"/>
        </w:rPr>
      </w:pPr>
      <w:r>
        <w:rPr>
          <w:rFonts w:hint="eastAsia"/>
          <w:sz w:val="24"/>
        </w:rPr>
        <w:t>需为肿瘤医院廊坊院区的自助机</w:t>
      </w:r>
      <w:r>
        <w:rPr>
          <w:rFonts w:hint="eastAsia"/>
          <w:sz w:val="24"/>
          <w:lang w:eastAsia="zh-CN"/>
        </w:rPr>
        <w:t>（</w:t>
      </w:r>
      <w:r>
        <w:rPr>
          <w:rFonts w:hint="eastAsia"/>
          <w:sz w:val="24"/>
          <w:lang w:val="en-US" w:eastAsia="zh-CN"/>
        </w:rPr>
        <w:t>东软</w:t>
      </w:r>
      <w:r>
        <w:rPr>
          <w:rFonts w:hint="eastAsia"/>
          <w:sz w:val="24"/>
          <w:lang w:eastAsia="zh-CN"/>
        </w:rPr>
        <w:t>）</w:t>
      </w:r>
      <w:r>
        <w:rPr>
          <w:rFonts w:hint="eastAsia"/>
          <w:sz w:val="24"/>
        </w:rPr>
        <w:t>设备提供硬件维修服务。</w:t>
      </w:r>
      <w:bookmarkStart w:id="3" w:name="_GoBack"/>
      <w:bookmarkEnd w:id="3"/>
    </w:p>
    <w:p w14:paraId="5408A636">
      <w:pPr>
        <w:numPr>
          <w:ilvl w:val="0"/>
          <w:numId w:val="6"/>
        </w:numPr>
        <w:spacing w:line="360" w:lineRule="auto"/>
        <w:ind w:firstLineChars="0"/>
        <w:rPr>
          <w:sz w:val="24"/>
        </w:rPr>
      </w:pPr>
      <w:r>
        <w:rPr>
          <w:rFonts w:hint="eastAsia"/>
          <w:sz w:val="24"/>
        </w:rPr>
        <w:t>需配合自助机公司、首信医保系统、银行MIS系统的定期完成升级工作。</w:t>
      </w:r>
    </w:p>
    <w:p w14:paraId="6ADD5B41">
      <w:pPr>
        <w:numPr>
          <w:ilvl w:val="0"/>
          <w:numId w:val="6"/>
        </w:numPr>
        <w:spacing w:line="360" w:lineRule="auto"/>
        <w:ind w:firstLineChars="0"/>
        <w:rPr>
          <w:sz w:val="24"/>
        </w:rPr>
      </w:pPr>
      <w:r>
        <w:rPr>
          <w:rFonts w:hint="eastAsia"/>
          <w:sz w:val="24"/>
        </w:rPr>
        <w:t>对现有自助终端的每日三次巡检工作，保障设备正常使用。</w:t>
      </w:r>
    </w:p>
    <w:p w14:paraId="4902AD32">
      <w:pPr>
        <w:numPr>
          <w:ilvl w:val="0"/>
          <w:numId w:val="6"/>
        </w:numPr>
        <w:spacing w:line="360" w:lineRule="auto"/>
        <w:ind w:firstLineChars="0"/>
        <w:rPr>
          <w:sz w:val="24"/>
        </w:rPr>
      </w:pPr>
      <w:r>
        <w:rPr>
          <w:rFonts w:hint="eastAsia"/>
          <w:sz w:val="24"/>
        </w:rPr>
        <w:t>工作日及时更换设备耗材（硒鼓、纸张）,耗材由院方提供。</w:t>
      </w:r>
    </w:p>
    <w:p w14:paraId="06BB3640">
      <w:pPr>
        <w:numPr>
          <w:ilvl w:val="0"/>
          <w:numId w:val="6"/>
        </w:numPr>
        <w:spacing w:line="360" w:lineRule="auto"/>
        <w:ind w:firstLineChars="0"/>
        <w:rPr>
          <w:sz w:val="24"/>
        </w:rPr>
      </w:pPr>
      <w:r>
        <w:rPr>
          <w:rFonts w:hint="eastAsia"/>
          <w:sz w:val="24"/>
        </w:rPr>
        <w:t>需配合自助机公司对设备软件、硬件故障进行排除。</w:t>
      </w:r>
    </w:p>
    <w:p w14:paraId="571CFBFB">
      <w:pPr>
        <w:numPr>
          <w:ilvl w:val="0"/>
          <w:numId w:val="6"/>
        </w:numPr>
        <w:spacing w:line="360" w:lineRule="auto"/>
        <w:ind w:firstLineChars="0"/>
        <w:rPr>
          <w:sz w:val="24"/>
        </w:rPr>
      </w:pPr>
      <w:r>
        <w:rPr>
          <w:rFonts w:hint="eastAsia"/>
          <w:sz w:val="24"/>
        </w:rPr>
        <w:t>针对医院要求的重大事件保障工作。</w:t>
      </w:r>
    </w:p>
    <w:p w14:paraId="0DFBB802">
      <w:pPr>
        <w:numPr>
          <w:ilvl w:val="0"/>
          <w:numId w:val="6"/>
        </w:numPr>
        <w:spacing w:line="360" w:lineRule="auto"/>
        <w:ind w:firstLineChars="0"/>
        <w:rPr>
          <w:sz w:val="24"/>
        </w:rPr>
      </w:pPr>
      <w:r>
        <w:rPr>
          <w:rFonts w:hint="eastAsia"/>
          <w:sz w:val="24"/>
        </w:rPr>
        <w:t>运维到岗时间需按照医院要求进行排班，保证工作时间有人在岗。（根据院方要求或突发事件可进行相关调休、调整。）</w:t>
      </w:r>
    </w:p>
    <w:p w14:paraId="0CCEE6D1">
      <w:pPr>
        <w:numPr>
          <w:ilvl w:val="0"/>
          <w:numId w:val="6"/>
        </w:numPr>
        <w:spacing w:line="360" w:lineRule="auto"/>
        <w:ind w:firstLineChars="0"/>
        <w:rPr>
          <w:sz w:val="24"/>
        </w:rPr>
      </w:pPr>
      <w:r>
        <w:rPr>
          <w:rFonts w:hint="eastAsia"/>
          <w:sz w:val="24"/>
        </w:rPr>
        <w:t>需要对每一台自助设备进行醒目的功能、开关机时间、售后服务电话等标识。</w:t>
      </w:r>
    </w:p>
    <w:p w14:paraId="78799B57">
      <w:pPr>
        <w:numPr>
          <w:ilvl w:val="0"/>
          <w:numId w:val="6"/>
        </w:numPr>
        <w:spacing w:line="360" w:lineRule="auto"/>
        <w:ind w:firstLineChars="0"/>
        <w:rPr>
          <w:sz w:val="24"/>
        </w:rPr>
      </w:pPr>
      <w:r>
        <w:rPr>
          <w:rFonts w:hint="eastAsia"/>
          <w:sz w:val="24"/>
        </w:rPr>
        <w:t>下班时间及节假日需要有24小时技术支持电话。</w:t>
      </w:r>
    </w:p>
    <w:p w14:paraId="6C495A61">
      <w:pPr>
        <w:numPr>
          <w:ilvl w:val="0"/>
          <w:numId w:val="6"/>
        </w:numPr>
        <w:spacing w:line="360" w:lineRule="auto"/>
        <w:ind w:firstLineChars="0"/>
        <w:rPr>
          <w:sz w:val="24"/>
        </w:rPr>
      </w:pPr>
      <w:r>
        <w:rPr>
          <w:rFonts w:hint="eastAsia"/>
          <w:sz w:val="24"/>
        </w:rPr>
        <w:t>需要对新采购的自助设备进行技术支持。</w:t>
      </w:r>
    </w:p>
    <w:p w14:paraId="551D2C27">
      <w:pPr>
        <w:numPr>
          <w:ilvl w:val="0"/>
          <w:numId w:val="6"/>
        </w:numPr>
        <w:spacing w:line="360" w:lineRule="auto"/>
        <w:ind w:firstLineChars="0"/>
        <w:rPr>
          <w:sz w:val="24"/>
        </w:rPr>
      </w:pPr>
      <w:r>
        <w:rPr>
          <w:rFonts w:hint="eastAsia"/>
          <w:sz w:val="24"/>
        </w:rPr>
        <w:t>对医院50余台自助机提供运维保障。</w:t>
      </w:r>
    </w:p>
    <w:p w14:paraId="5B33CA2E">
      <w:pPr>
        <w:numPr>
          <w:ilvl w:val="0"/>
          <w:numId w:val="3"/>
        </w:numPr>
        <w:spacing w:line="360" w:lineRule="auto"/>
        <w:ind w:firstLineChars="0"/>
        <w:outlineLvl w:val="1"/>
        <w:rPr>
          <w:b/>
          <w:sz w:val="24"/>
        </w:rPr>
      </w:pPr>
      <w:r>
        <w:rPr>
          <w:rFonts w:hint="eastAsia"/>
          <w:b/>
          <w:sz w:val="24"/>
        </w:rPr>
        <w:t>终端网络维护</w:t>
      </w:r>
    </w:p>
    <w:p w14:paraId="6CE023C5">
      <w:pPr>
        <w:numPr>
          <w:ilvl w:val="0"/>
          <w:numId w:val="7"/>
        </w:numPr>
        <w:spacing w:line="360" w:lineRule="auto"/>
        <w:ind w:firstLineChars="0"/>
        <w:outlineLvl w:val="2"/>
        <w:rPr>
          <w:sz w:val="24"/>
        </w:rPr>
      </w:pPr>
      <w:r>
        <w:rPr>
          <w:rFonts w:hint="eastAsia"/>
          <w:sz w:val="24"/>
        </w:rPr>
        <w:t>处理终端常见基本网络问题；</w:t>
      </w:r>
    </w:p>
    <w:p w14:paraId="6DC92D55">
      <w:pPr>
        <w:numPr>
          <w:ilvl w:val="0"/>
          <w:numId w:val="7"/>
        </w:numPr>
        <w:spacing w:line="360" w:lineRule="auto"/>
        <w:ind w:firstLineChars="0"/>
        <w:rPr>
          <w:sz w:val="24"/>
        </w:rPr>
      </w:pPr>
      <w:r>
        <w:rPr>
          <w:rFonts w:hint="eastAsia"/>
          <w:sz w:val="24"/>
        </w:rPr>
        <w:t>解决故障范围：本地网络端口至终端（包括物理网口、网线、网卡硬件、驱动程序、系统网络配置）；</w:t>
      </w:r>
    </w:p>
    <w:p w14:paraId="59DCFDF4">
      <w:pPr>
        <w:numPr>
          <w:ilvl w:val="0"/>
          <w:numId w:val="7"/>
        </w:numPr>
        <w:spacing w:line="360" w:lineRule="auto"/>
        <w:ind w:firstLineChars="0"/>
        <w:rPr>
          <w:sz w:val="24"/>
        </w:rPr>
      </w:pPr>
      <w:r>
        <w:rPr>
          <w:rFonts w:hint="eastAsia"/>
          <w:sz w:val="24"/>
        </w:rPr>
        <w:t>配备专业故障检测工具，判断故障类型（不在负责范围内的转相关人员）；</w:t>
      </w:r>
    </w:p>
    <w:p w14:paraId="0E075F06">
      <w:pPr>
        <w:numPr>
          <w:ilvl w:val="0"/>
          <w:numId w:val="7"/>
        </w:numPr>
        <w:spacing w:line="360" w:lineRule="auto"/>
        <w:ind w:firstLineChars="0"/>
        <w:rPr>
          <w:sz w:val="24"/>
        </w:rPr>
      </w:pPr>
      <w:r>
        <w:rPr>
          <w:rFonts w:hint="eastAsia"/>
          <w:sz w:val="24"/>
        </w:rPr>
        <w:t>局域网的调试与安装（IP地址配置、桌面管理软件安装等）；</w:t>
      </w:r>
    </w:p>
    <w:p w14:paraId="4BD51370">
      <w:pPr>
        <w:numPr>
          <w:ilvl w:val="0"/>
          <w:numId w:val="7"/>
        </w:numPr>
        <w:spacing w:line="360" w:lineRule="auto"/>
        <w:ind w:firstLineChars="0"/>
        <w:rPr>
          <w:sz w:val="24"/>
        </w:rPr>
      </w:pPr>
      <w:r>
        <w:rPr>
          <w:rFonts w:hint="eastAsia"/>
          <w:sz w:val="24"/>
        </w:rPr>
        <w:t>完成终端正常运作所需的本地网络相关工作。</w:t>
      </w:r>
    </w:p>
    <w:p w14:paraId="48579A9C">
      <w:pPr>
        <w:numPr>
          <w:ilvl w:val="0"/>
          <w:numId w:val="3"/>
        </w:numPr>
        <w:spacing w:line="360" w:lineRule="auto"/>
        <w:ind w:firstLineChars="0"/>
        <w:outlineLvl w:val="1"/>
        <w:rPr>
          <w:b/>
          <w:sz w:val="24"/>
        </w:rPr>
      </w:pPr>
      <w:r>
        <w:rPr>
          <w:rFonts w:hint="eastAsia"/>
          <w:b/>
          <w:sz w:val="24"/>
        </w:rPr>
        <w:t>终端杀毒</w:t>
      </w:r>
    </w:p>
    <w:p w14:paraId="63D3343A">
      <w:pPr>
        <w:spacing w:line="360" w:lineRule="auto"/>
        <w:ind w:firstLine="480"/>
        <w:rPr>
          <w:rFonts w:ascii="Times New Roman" w:hAnsi="Times New Roman" w:cs="Times New Roman"/>
          <w:sz w:val="24"/>
        </w:rPr>
      </w:pPr>
      <w:r>
        <w:rPr>
          <w:rFonts w:hint="eastAsia" w:ascii="Times New Roman" w:hAnsi="Times New Roman" w:cs="Times New Roman"/>
          <w:sz w:val="24"/>
        </w:rPr>
        <w:t>每季度定期监测终端电脑病毒，安装医院指定的杀毒软件及操作系统补丁修复等，通过桌面管理软件监测终端计算机病毒情况，管理终端设备。如有病毒疫情发作，或者有上级部门要求，应及时配合信息管理中心人员安排查杀病毒。</w:t>
      </w:r>
    </w:p>
    <w:p w14:paraId="388781F1">
      <w:pPr>
        <w:numPr>
          <w:ilvl w:val="0"/>
          <w:numId w:val="3"/>
        </w:numPr>
        <w:spacing w:line="360" w:lineRule="auto"/>
        <w:ind w:firstLineChars="0"/>
        <w:outlineLvl w:val="1"/>
        <w:rPr>
          <w:rFonts w:ascii="Times New Roman" w:hAnsi="Times New Roman" w:cs="Times New Roman"/>
          <w:b/>
          <w:sz w:val="24"/>
        </w:rPr>
      </w:pPr>
      <w:r>
        <w:rPr>
          <w:rFonts w:hint="eastAsia" w:ascii="Times New Roman" w:hAnsi="Times New Roman" w:cs="Times New Roman"/>
          <w:b/>
          <w:sz w:val="24"/>
        </w:rPr>
        <w:t xml:space="preserve">维修主机除尘 </w:t>
      </w:r>
    </w:p>
    <w:p w14:paraId="4190D178">
      <w:pPr>
        <w:spacing w:line="360" w:lineRule="auto"/>
        <w:ind w:firstLine="480"/>
        <w:rPr>
          <w:rFonts w:ascii="Times New Roman" w:hAnsi="Times New Roman" w:cs="Times New Roman"/>
          <w:sz w:val="24"/>
        </w:rPr>
      </w:pPr>
      <w:r>
        <w:rPr>
          <w:rFonts w:hint="eastAsia" w:ascii="Times New Roman" w:hAnsi="Times New Roman" w:cs="Times New Roman"/>
          <w:sz w:val="24"/>
        </w:rPr>
        <w:t xml:space="preserve">运维项目组提供院内维修电脑主机除尘服务（针对使用年限超 </w:t>
      </w:r>
      <w:r>
        <w:rPr>
          <w:rFonts w:ascii="Times New Roman" w:hAnsi="Times New Roman" w:cs="Times New Roman"/>
          <w:sz w:val="24"/>
        </w:rPr>
        <w:t xml:space="preserve">2 </w:t>
      </w:r>
      <w:r>
        <w:rPr>
          <w:rFonts w:hint="eastAsia" w:ascii="Times New Roman" w:hAnsi="Times New Roman" w:cs="Times New Roman"/>
          <w:sz w:val="24"/>
        </w:rPr>
        <w:t>年以上的设备），除尘工具由投标人提供；维修设备送回科室前均需做清洁保养工作。</w:t>
      </w:r>
    </w:p>
    <w:p w14:paraId="6BC0B70B">
      <w:pPr>
        <w:numPr>
          <w:ilvl w:val="0"/>
          <w:numId w:val="3"/>
        </w:numPr>
        <w:spacing w:line="360" w:lineRule="auto"/>
        <w:ind w:firstLineChars="0"/>
        <w:outlineLvl w:val="1"/>
        <w:rPr>
          <w:rFonts w:ascii="Times New Roman" w:hAnsi="Times New Roman" w:cs="Times New Roman"/>
          <w:b/>
          <w:sz w:val="24"/>
        </w:rPr>
      </w:pPr>
      <w:r>
        <w:rPr>
          <w:rFonts w:hint="eastAsia" w:ascii="Times New Roman" w:hAnsi="Times New Roman" w:cs="Times New Roman"/>
          <w:b/>
          <w:sz w:val="24"/>
        </w:rPr>
        <w:t xml:space="preserve">临时用工 </w:t>
      </w:r>
    </w:p>
    <w:p w14:paraId="5B3B01A7">
      <w:pPr>
        <w:numPr>
          <w:ilvl w:val="0"/>
          <w:numId w:val="8"/>
        </w:numPr>
        <w:spacing w:line="360" w:lineRule="auto"/>
        <w:ind w:firstLineChars="0"/>
        <w:rPr>
          <w:rFonts w:ascii="Times New Roman" w:hAnsi="Times New Roman" w:cs="Times New Roman"/>
          <w:sz w:val="24"/>
        </w:rPr>
      </w:pPr>
      <w:r>
        <w:rPr>
          <w:rFonts w:hint="eastAsia" w:ascii="Times New Roman" w:hAnsi="Times New Roman" w:cs="Times New Roman"/>
          <w:sz w:val="24"/>
        </w:rPr>
        <w:t xml:space="preserve">因科室搬家变更设备位置，项目组安排适当人员，在规定时间内完成各类电脑、各类打印机等桌面终端设备的拆卸、安装、调试、部署就位，网络连通；保障科室工作正常运行； </w:t>
      </w:r>
    </w:p>
    <w:p w14:paraId="01BB49CD">
      <w:pPr>
        <w:numPr>
          <w:ilvl w:val="0"/>
          <w:numId w:val="8"/>
        </w:numPr>
        <w:spacing w:line="360" w:lineRule="auto"/>
        <w:ind w:firstLineChars="0"/>
        <w:rPr>
          <w:rFonts w:ascii="Times New Roman" w:hAnsi="Times New Roman" w:cs="Times New Roman"/>
          <w:sz w:val="24"/>
        </w:rPr>
      </w:pPr>
      <w:r>
        <w:rPr>
          <w:rFonts w:hint="eastAsia" w:ascii="Times New Roman" w:hAnsi="Times New Roman" w:cs="Times New Roman"/>
          <w:sz w:val="24"/>
        </w:rPr>
        <w:t>配合医院按规定时间完成重要系统批量升级、各类检查任务的设备或网络巡检等工作；</w:t>
      </w:r>
    </w:p>
    <w:p w14:paraId="090AE0B1">
      <w:pPr>
        <w:numPr>
          <w:ilvl w:val="0"/>
          <w:numId w:val="3"/>
        </w:numPr>
        <w:spacing w:line="360" w:lineRule="auto"/>
        <w:ind w:firstLineChars="0"/>
        <w:outlineLvl w:val="1"/>
        <w:rPr>
          <w:b/>
          <w:sz w:val="24"/>
        </w:rPr>
      </w:pPr>
      <w:r>
        <w:rPr>
          <w:rFonts w:hint="eastAsia"/>
          <w:b/>
          <w:sz w:val="24"/>
        </w:rPr>
        <w:t>终端IT设备与运维管理</w:t>
      </w:r>
    </w:p>
    <w:p w14:paraId="015AA805">
      <w:pPr>
        <w:numPr>
          <w:ilvl w:val="0"/>
          <w:numId w:val="9"/>
        </w:numPr>
        <w:spacing w:line="360" w:lineRule="auto"/>
        <w:ind w:firstLineChars="0"/>
        <w:rPr>
          <w:sz w:val="24"/>
        </w:rPr>
      </w:pPr>
      <w:r>
        <w:rPr>
          <w:rFonts w:hint="eastAsia"/>
          <w:sz w:val="24"/>
        </w:rPr>
        <w:t>清查和建立客户端IT设备的基本配置档案记录，如：计算机名、设备名称、型号、配置、IP地址、所在科室、位置、电话、设备使用年限等信息台账，并根据使用年限定期提出更新建议；</w:t>
      </w:r>
    </w:p>
    <w:p w14:paraId="0DEC7764">
      <w:pPr>
        <w:numPr>
          <w:ilvl w:val="0"/>
          <w:numId w:val="9"/>
        </w:numPr>
        <w:spacing w:line="360" w:lineRule="auto"/>
        <w:ind w:firstLineChars="0"/>
        <w:rPr>
          <w:sz w:val="24"/>
        </w:rPr>
      </w:pPr>
      <w:r>
        <w:rPr>
          <w:rFonts w:hint="eastAsia"/>
          <w:sz w:val="24"/>
        </w:rPr>
        <w:t>终端运维项目组备机管</w:t>
      </w:r>
      <w:r>
        <w:rPr>
          <w:rFonts w:hint="eastAsia" w:ascii="宋体" w:hAnsi="宋体" w:eastAsia="宋体" w:cs="宋体"/>
          <w:color w:val="000000"/>
          <w:kern w:val="0"/>
          <w:sz w:val="24"/>
          <w:szCs w:val="24"/>
          <w:lang w:bidi="ar"/>
        </w:rPr>
        <w:t>理（台式电脑、打印机备机由信息管理中心提供）；</w:t>
      </w:r>
    </w:p>
    <w:p w14:paraId="43ACE8A9">
      <w:pPr>
        <w:numPr>
          <w:ilvl w:val="0"/>
          <w:numId w:val="9"/>
        </w:numPr>
        <w:spacing w:line="360" w:lineRule="auto"/>
        <w:ind w:firstLineChars="0"/>
        <w:rPr>
          <w:sz w:val="24"/>
        </w:rPr>
      </w:pPr>
      <w:r>
        <w:rPr>
          <w:rFonts w:hint="eastAsia"/>
          <w:sz w:val="24"/>
        </w:rPr>
        <w:t>制定运维管理制度、规范运维服务流程；</w:t>
      </w:r>
    </w:p>
    <w:p w14:paraId="5B6675B3">
      <w:pPr>
        <w:numPr>
          <w:ilvl w:val="0"/>
          <w:numId w:val="9"/>
        </w:numPr>
        <w:spacing w:line="360" w:lineRule="auto"/>
        <w:ind w:firstLineChars="0"/>
        <w:rPr>
          <w:sz w:val="24"/>
        </w:rPr>
      </w:pPr>
      <w:r>
        <w:rPr>
          <w:rFonts w:hint="eastAsia"/>
          <w:sz w:val="24"/>
        </w:rPr>
        <w:t>制作运维工作表单、运维工作手册；</w:t>
      </w:r>
    </w:p>
    <w:p w14:paraId="04BE47A5">
      <w:pPr>
        <w:numPr>
          <w:ilvl w:val="0"/>
          <w:numId w:val="9"/>
        </w:numPr>
        <w:spacing w:line="360" w:lineRule="auto"/>
        <w:ind w:firstLineChars="0"/>
        <w:rPr>
          <w:sz w:val="24"/>
        </w:rPr>
      </w:pPr>
      <w:r>
        <w:rPr>
          <w:rFonts w:hint="eastAsia"/>
          <w:sz w:val="24"/>
        </w:rPr>
        <w:t>提交终端设备日常巡检记录单；</w:t>
      </w:r>
    </w:p>
    <w:p w14:paraId="12CF42D6">
      <w:pPr>
        <w:numPr>
          <w:ilvl w:val="0"/>
          <w:numId w:val="9"/>
        </w:numPr>
        <w:spacing w:line="360" w:lineRule="auto"/>
        <w:ind w:firstLineChars="0"/>
        <w:rPr>
          <w:sz w:val="24"/>
        </w:rPr>
      </w:pPr>
      <w:r>
        <w:rPr>
          <w:rFonts w:hint="eastAsia"/>
          <w:sz w:val="24"/>
        </w:rPr>
        <w:t>提交运维记录、故障分析报表、满意度调查表；</w:t>
      </w:r>
    </w:p>
    <w:p w14:paraId="3443C091">
      <w:pPr>
        <w:numPr>
          <w:ilvl w:val="0"/>
          <w:numId w:val="9"/>
        </w:numPr>
        <w:spacing w:line="360" w:lineRule="auto"/>
        <w:ind w:firstLineChars="0"/>
        <w:rPr>
          <w:sz w:val="24"/>
        </w:rPr>
      </w:pPr>
      <w:r>
        <w:rPr>
          <w:rFonts w:hint="eastAsia"/>
          <w:sz w:val="24"/>
        </w:rPr>
        <w:t>建立运维管理文档，定期向医院信息中心提交如下运维文档：</w:t>
      </w:r>
    </w:p>
    <w:p w14:paraId="263F56B1">
      <w:pPr>
        <w:spacing w:line="360" w:lineRule="auto"/>
        <w:ind w:left="485" w:leftChars="114" w:hanging="120" w:hangingChars="50"/>
        <w:rPr>
          <w:sz w:val="24"/>
        </w:rPr>
      </w:pPr>
    </w:p>
    <w:tbl>
      <w:tblPr>
        <w:tblStyle w:val="7"/>
        <w:tblW w:w="8980" w:type="dxa"/>
        <w:jc w:val="center"/>
        <w:tblLayout w:type="autofit"/>
        <w:tblCellMar>
          <w:top w:w="0" w:type="dxa"/>
          <w:left w:w="0" w:type="dxa"/>
          <w:bottom w:w="0" w:type="dxa"/>
          <w:right w:w="0" w:type="dxa"/>
        </w:tblCellMar>
      </w:tblPr>
      <w:tblGrid>
        <w:gridCol w:w="615"/>
        <w:gridCol w:w="1615"/>
        <w:gridCol w:w="4230"/>
        <w:gridCol w:w="774"/>
        <w:gridCol w:w="1746"/>
      </w:tblGrid>
      <w:tr w14:paraId="669B4D9D">
        <w:tblPrEx>
          <w:tblCellMar>
            <w:top w:w="0" w:type="dxa"/>
            <w:left w:w="0" w:type="dxa"/>
            <w:bottom w:w="0" w:type="dxa"/>
            <w:right w:w="0"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66ED79DF">
            <w:pPr>
              <w:widowControl/>
              <w:spacing w:before="100" w:beforeAutospacing="1" w:after="100" w:afterAutospacing="1" w:line="360" w:lineRule="auto"/>
              <w:ind w:firstLine="0" w:firstLineChars="0"/>
              <w:jc w:val="both"/>
              <w:rPr>
                <w:rFonts w:hint="eastAsia" w:ascii="宋体" w:hAnsi="宋体" w:cs="宋体"/>
                <w:b/>
                <w:kern w:val="0"/>
                <w:sz w:val="24"/>
              </w:rPr>
            </w:pPr>
            <w:r>
              <w:rPr>
                <w:rFonts w:ascii="宋体" w:hAnsi="宋体" w:cs="宋体"/>
                <w:b/>
                <w:kern w:val="0"/>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3F695B58">
            <w:pPr>
              <w:widowControl/>
              <w:spacing w:before="100" w:beforeAutospacing="1" w:after="100" w:afterAutospacing="1" w:line="360" w:lineRule="auto"/>
              <w:ind w:firstLine="482"/>
              <w:jc w:val="center"/>
              <w:rPr>
                <w:rFonts w:hint="eastAsia" w:ascii="宋体" w:hAnsi="宋体" w:cs="宋体"/>
                <w:b/>
                <w:kern w:val="0"/>
                <w:sz w:val="24"/>
              </w:rPr>
            </w:pPr>
            <w:r>
              <w:rPr>
                <w:rFonts w:ascii="宋体" w:hAnsi="宋体" w:cs="宋体"/>
                <w:b/>
                <w:kern w:val="0"/>
                <w:sz w:val="24"/>
              </w:rPr>
              <w:t>文档名称</w:t>
            </w:r>
          </w:p>
        </w:tc>
        <w:tc>
          <w:tcPr>
            <w:tcW w:w="4230" w:type="dxa"/>
            <w:tcBorders>
              <w:top w:val="single" w:color="auto" w:sz="4" w:space="0"/>
              <w:left w:val="single" w:color="auto" w:sz="4" w:space="0"/>
              <w:bottom w:val="single" w:color="auto" w:sz="4" w:space="0"/>
              <w:right w:val="single" w:color="auto" w:sz="4" w:space="0"/>
            </w:tcBorders>
            <w:vAlign w:val="center"/>
          </w:tcPr>
          <w:p w14:paraId="47E2180F">
            <w:pPr>
              <w:widowControl/>
              <w:spacing w:before="100" w:beforeAutospacing="1" w:after="100" w:afterAutospacing="1" w:line="360" w:lineRule="auto"/>
              <w:ind w:firstLine="482"/>
              <w:jc w:val="center"/>
              <w:rPr>
                <w:rFonts w:hint="eastAsia" w:ascii="宋体" w:hAnsi="宋体" w:cs="宋体"/>
                <w:b/>
                <w:kern w:val="0"/>
                <w:sz w:val="24"/>
              </w:rPr>
            </w:pPr>
            <w:r>
              <w:rPr>
                <w:rFonts w:ascii="宋体" w:hAnsi="宋体" w:cs="宋体"/>
                <w:b/>
                <w:kern w:val="0"/>
                <w:sz w:val="24"/>
              </w:rPr>
              <w:t>内容</w:t>
            </w:r>
          </w:p>
        </w:tc>
        <w:tc>
          <w:tcPr>
            <w:tcW w:w="774" w:type="dxa"/>
            <w:tcBorders>
              <w:top w:val="single" w:color="auto" w:sz="4" w:space="0"/>
              <w:left w:val="single" w:color="auto" w:sz="4" w:space="0"/>
              <w:bottom w:val="single" w:color="auto" w:sz="4" w:space="0"/>
              <w:right w:val="single" w:color="auto" w:sz="4" w:space="0"/>
            </w:tcBorders>
            <w:vAlign w:val="center"/>
          </w:tcPr>
          <w:p w14:paraId="47C1D02A">
            <w:pPr>
              <w:widowControl/>
              <w:spacing w:before="100" w:beforeAutospacing="1" w:after="100" w:afterAutospacing="1" w:line="360" w:lineRule="auto"/>
              <w:ind w:firstLine="0" w:firstLineChars="0"/>
              <w:jc w:val="both"/>
              <w:rPr>
                <w:rFonts w:hint="eastAsia" w:ascii="宋体" w:hAnsi="宋体" w:cs="宋体"/>
                <w:b/>
                <w:kern w:val="0"/>
                <w:sz w:val="24"/>
              </w:rPr>
            </w:pPr>
            <w:r>
              <w:rPr>
                <w:rFonts w:ascii="宋体" w:hAnsi="宋体" w:cs="宋体"/>
                <w:b/>
                <w:kern w:val="0"/>
                <w:sz w:val="24"/>
              </w:rPr>
              <w:t>周期</w:t>
            </w:r>
          </w:p>
        </w:tc>
        <w:tc>
          <w:tcPr>
            <w:tcW w:w="1746" w:type="dxa"/>
            <w:tcBorders>
              <w:top w:val="single" w:color="auto" w:sz="4" w:space="0"/>
              <w:left w:val="single" w:color="auto" w:sz="4" w:space="0"/>
              <w:bottom w:val="single" w:color="auto" w:sz="4" w:space="0"/>
              <w:right w:val="single" w:color="auto" w:sz="4" w:space="0"/>
            </w:tcBorders>
            <w:vAlign w:val="center"/>
          </w:tcPr>
          <w:p w14:paraId="715BB77E">
            <w:pPr>
              <w:widowControl/>
              <w:spacing w:before="100" w:beforeAutospacing="1" w:after="100" w:afterAutospacing="1" w:line="360" w:lineRule="auto"/>
              <w:ind w:firstLine="482"/>
              <w:jc w:val="center"/>
              <w:rPr>
                <w:rFonts w:hint="eastAsia" w:ascii="宋体" w:hAnsi="宋体" w:cs="宋体"/>
                <w:b/>
                <w:kern w:val="0"/>
                <w:sz w:val="24"/>
              </w:rPr>
            </w:pPr>
            <w:r>
              <w:rPr>
                <w:rFonts w:ascii="宋体" w:hAnsi="宋体" w:cs="宋体"/>
                <w:b/>
                <w:kern w:val="0"/>
                <w:sz w:val="24"/>
              </w:rPr>
              <w:t>备注</w:t>
            </w:r>
          </w:p>
        </w:tc>
      </w:tr>
      <w:tr w14:paraId="7A338336">
        <w:tblPrEx>
          <w:tblCellMar>
            <w:top w:w="0" w:type="dxa"/>
            <w:left w:w="0" w:type="dxa"/>
            <w:bottom w:w="0" w:type="dxa"/>
            <w:right w:w="0"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6EFD6F27">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cs="宋体"/>
                <w:kern w:val="0"/>
                <w:sz w:val="24"/>
              </w:rPr>
              <w:t>1</w:t>
            </w:r>
          </w:p>
        </w:tc>
        <w:tc>
          <w:tcPr>
            <w:tcW w:w="1615" w:type="dxa"/>
            <w:tcBorders>
              <w:top w:val="single" w:color="auto" w:sz="4" w:space="0"/>
              <w:left w:val="single" w:color="auto" w:sz="4" w:space="0"/>
              <w:bottom w:val="single" w:color="auto" w:sz="4" w:space="0"/>
              <w:right w:val="single" w:color="auto" w:sz="4" w:space="0"/>
            </w:tcBorders>
            <w:vAlign w:val="center"/>
          </w:tcPr>
          <w:p w14:paraId="0B9E1352">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运维日志</w:t>
            </w:r>
          </w:p>
        </w:tc>
        <w:tc>
          <w:tcPr>
            <w:tcW w:w="4230" w:type="dxa"/>
            <w:tcBorders>
              <w:top w:val="single" w:color="auto" w:sz="4" w:space="0"/>
              <w:left w:val="single" w:color="auto" w:sz="4" w:space="0"/>
              <w:bottom w:val="single" w:color="auto" w:sz="4" w:space="0"/>
              <w:right w:val="single" w:color="auto" w:sz="4" w:space="0"/>
            </w:tcBorders>
            <w:vAlign w:val="center"/>
          </w:tcPr>
          <w:p w14:paraId="4A57F6D9">
            <w:pPr>
              <w:widowControl/>
              <w:spacing w:before="100" w:beforeAutospacing="1" w:after="100" w:afterAutospacing="1" w:line="360" w:lineRule="auto"/>
              <w:ind w:firstLine="0" w:firstLineChars="0"/>
              <w:rPr>
                <w:rFonts w:hint="eastAsia" w:ascii="宋体" w:hAnsi="宋体" w:cs="宋体"/>
                <w:kern w:val="0"/>
                <w:sz w:val="24"/>
              </w:rPr>
            </w:pPr>
            <w:r>
              <w:rPr>
                <w:rFonts w:hint="eastAsia" w:ascii="宋体" w:hAnsi="宋体" w:cs="宋体"/>
                <w:kern w:val="0"/>
                <w:sz w:val="24"/>
              </w:rPr>
              <w:t>每天</w:t>
            </w:r>
            <w:r>
              <w:rPr>
                <w:rFonts w:ascii="宋体" w:hAnsi="宋体" w:cs="宋体"/>
                <w:kern w:val="0"/>
                <w:sz w:val="24"/>
              </w:rPr>
              <w:t>运维过程中的事件记录，如工单等。</w:t>
            </w:r>
          </w:p>
        </w:tc>
        <w:tc>
          <w:tcPr>
            <w:tcW w:w="774" w:type="dxa"/>
            <w:tcBorders>
              <w:top w:val="single" w:color="auto" w:sz="4" w:space="0"/>
              <w:left w:val="single" w:color="auto" w:sz="4" w:space="0"/>
              <w:bottom w:val="single" w:color="auto" w:sz="4" w:space="0"/>
              <w:right w:val="single" w:color="auto" w:sz="4" w:space="0"/>
            </w:tcBorders>
            <w:vAlign w:val="center"/>
          </w:tcPr>
          <w:p w14:paraId="2BA5B64E">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每</w:t>
            </w:r>
            <w:r>
              <w:rPr>
                <w:rFonts w:hint="eastAsia" w:ascii="宋体" w:hAnsi="宋体" w:cs="宋体"/>
                <w:kern w:val="0"/>
                <w:sz w:val="24"/>
              </w:rPr>
              <w:t>天</w:t>
            </w:r>
          </w:p>
        </w:tc>
        <w:tc>
          <w:tcPr>
            <w:tcW w:w="1746" w:type="dxa"/>
            <w:tcBorders>
              <w:top w:val="single" w:color="auto" w:sz="4" w:space="0"/>
              <w:left w:val="single" w:color="auto" w:sz="4" w:space="0"/>
              <w:bottom w:val="single" w:color="auto" w:sz="4" w:space="0"/>
              <w:right w:val="single" w:color="auto" w:sz="4" w:space="0"/>
            </w:tcBorders>
            <w:vAlign w:val="center"/>
          </w:tcPr>
          <w:p w14:paraId="0F4F8F27">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可不定期检查</w:t>
            </w:r>
          </w:p>
        </w:tc>
      </w:tr>
      <w:tr w14:paraId="140C1727">
        <w:tblPrEx>
          <w:tblCellMar>
            <w:top w:w="0" w:type="dxa"/>
            <w:left w:w="0" w:type="dxa"/>
            <w:bottom w:w="0" w:type="dxa"/>
            <w:right w:w="0"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253DA9BA">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cs="宋体"/>
                <w:kern w:val="0"/>
                <w:sz w:val="24"/>
              </w:rPr>
              <w:t>2</w:t>
            </w:r>
          </w:p>
        </w:tc>
        <w:tc>
          <w:tcPr>
            <w:tcW w:w="1615" w:type="dxa"/>
            <w:tcBorders>
              <w:top w:val="single" w:color="auto" w:sz="4" w:space="0"/>
              <w:left w:val="single" w:color="auto" w:sz="4" w:space="0"/>
              <w:bottom w:val="single" w:color="auto" w:sz="4" w:space="0"/>
              <w:right w:val="single" w:color="auto" w:sz="4" w:space="0"/>
            </w:tcBorders>
            <w:vAlign w:val="center"/>
          </w:tcPr>
          <w:p w14:paraId="49A508D4">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cs="宋体"/>
                <w:kern w:val="0"/>
                <w:sz w:val="24"/>
              </w:rPr>
              <w:t>运维周例会</w:t>
            </w:r>
          </w:p>
        </w:tc>
        <w:tc>
          <w:tcPr>
            <w:tcW w:w="4230" w:type="dxa"/>
            <w:tcBorders>
              <w:top w:val="single" w:color="auto" w:sz="4" w:space="0"/>
              <w:left w:val="single" w:color="auto" w:sz="4" w:space="0"/>
              <w:bottom w:val="single" w:color="auto" w:sz="4" w:space="0"/>
              <w:right w:val="single" w:color="auto" w:sz="4" w:space="0"/>
            </w:tcBorders>
            <w:vAlign w:val="center"/>
          </w:tcPr>
          <w:p w14:paraId="5B509910">
            <w:pPr>
              <w:widowControl/>
              <w:spacing w:before="100" w:beforeAutospacing="1" w:after="100" w:afterAutospacing="1" w:line="360" w:lineRule="auto"/>
              <w:ind w:firstLine="0" w:firstLineChars="0"/>
              <w:rPr>
                <w:rFonts w:hint="eastAsia" w:ascii="宋体" w:hAnsi="宋体" w:cs="宋体"/>
                <w:kern w:val="0"/>
                <w:sz w:val="24"/>
              </w:rPr>
            </w:pPr>
            <w:r>
              <w:rPr>
                <w:rFonts w:ascii="宋体" w:hAnsi="宋体" w:cs="宋体"/>
                <w:kern w:val="0"/>
                <w:sz w:val="24"/>
              </w:rPr>
              <w:t>总结本</w:t>
            </w:r>
            <w:r>
              <w:rPr>
                <w:rFonts w:hint="eastAsia" w:ascii="宋体" w:hAnsi="宋体" w:cs="宋体"/>
                <w:kern w:val="0"/>
                <w:sz w:val="24"/>
              </w:rPr>
              <w:t>周</w:t>
            </w:r>
            <w:r>
              <w:rPr>
                <w:rFonts w:ascii="宋体" w:hAnsi="宋体" w:cs="宋体"/>
                <w:kern w:val="0"/>
                <w:sz w:val="24"/>
              </w:rPr>
              <w:t>系统运维情况，分析运维过程中出现的问题，制定下</w:t>
            </w:r>
            <w:r>
              <w:rPr>
                <w:rFonts w:hint="eastAsia" w:ascii="宋体" w:hAnsi="宋体" w:cs="宋体"/>
                <w:kern w:val="0"/>
                <w:sz w:val="24"/>
              </w:rPr>
              <w:t>周</w:t>
            </w:r>
            <w:r>
              <w:rPr>
                <w:rFonts w:ascii="宋体" w:hAnsi="宋体" w:cs="宋体"/>
                <w:kern w:val="0"/>
                <w:sz w:val="24"/>
              </w:rPr>
              <w:t>工作计划。</w:t>
            </w:r>
            <w:r>
              <w:rPr>
                <w:rFonts w:hint="eastAsia" w:ascii="宋体" w:hAnsi="宋体" w:cs="宋体"/>
                <w:kern w:val="0"/>
                <w:sz w:val="24"/>
              </w:rPr>
              <w:t>项目经理需参加周例会。</w:t>
            </w:r>
          </w:p>
        </w:tc>
        <w:tc>
          <w:tcPr>
            <w:tcW w:w="774" w:type="dxa"/>
            <w:tcBorders>
              <w:top w:val="single" w:color="auto" w:sz="4" w:space="0"/>
              <w:left w:val="single" w:color="auto" w:sz="4" w:space="0"/>
              <w:bottom w:val="single" w:color="auto" w:sz="4" w:space="0"/>
              <w:right w:val="single" w:color="auto" w:sz="4" w:space="0"/>
            </w:tcBorders>
            <w:vAlign w:val="center"/>
          </w:tcPr>
          <w:p w14:paraId="3E0CD1CE">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cs="宋体"/>
                <w:kern w:val="0"/>
                <w:sz w:val="24"/>
              </w:rPr>
              <w:t>每周</w:t>
            </w:r>
          </w:p>
        </w:tc>
        <w:tc>
          <w:tcPr>
            <w:tcW w:w="1746" w:type="dxa"/>
            <w:tcBorders>
              <w:top w:val="single" w:color="auto" w:sz="4" w:space="0"/>
              <w:left w:val="single" w:color="auto" w:sz="4" w:space="0"/>
              <w:bottom w:val="single" w:color="auto" w:sz="4" w:space="0"/>
              <w:right w:val="single" w:color="auto" w:sz="4" w:space="0"/>
            </w:tcBorders>
            <w:vAlign w:val="center"/>
          </w:tcPr>
          <w:p w14:paraId="0CD9A142">
            <w:pPr>
              <w:widowControl/>
              <w:ind w:firstLine="0" w:firstLineChars="0"/>
              <w:jc w:val="center"/>
              <w:rPr>
                <w:rFonts w:hint="eastAsia" w:ascii="宋体" w:hAnsi="宋体" w:cs="宋体"/>
                <w:kern w:val="0"/>
                <w:sz w:val="24"/>
              </w:rPr>
            </w:pPr>
            <w:r>
              <w:rPr>
                <w:rFonts w:hint="eastAsia" w:ascii="宋体" w:hAnsi="宋体" w:eastAsia="宋体" w:cs="宋体"/>
                <w:color w:val="000000"/>
                <w:kern w:val="0"/>
                <w:sz w:val="24"/>
                <w:szCs w:val="24"/>
                <w:lang w:bidi="ar"/>
              </w:rPr>
              <w:t>组长统计工作量</w:t>
            </w:r>
          </w:p>
        </w:tc>
      </w:tr>
      <w:tr w14:paraId="50D12D14">
        <w:tblPrEx>
          <w:tblCellMar>
            <w:top w:w="0" w:type="dxa"/>
            <w:left w:w="0" w:type="dxa"/>
            <w:bottom w:w="0" w:type="dxa"/>
            <w:right w:w="0"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2EE0F328">
            <w:pPr>
              <w:widowControl/>
              <w:spacing w:before="100" w:beforeAutospacing="1" w:after="100" w:afterAutospacing="1" w:line="360" w:lineRule="auto"/>
              <w:ind w:firstLine="0" w:firstLineChars="0"/>
              <w:jc w:val="center"/>
              <w:rPr>
                <w:rFonts w:hint="eastAsia" w:ascii="宋体" w:hAnsi="宋体" w:eastAsia="宋体" w:cs="宋体"/>
                <w:kern w:val="0"/>
                <w:sz w:val="24"/>
              </w:rPr>
            </w:pPr>
            <w:r>
              <w:rPr>
                <w:rFonts w:hint="eastAsia" w:ascii="宋体" w:hAnsi="宋体" w:cs="宋体"/>
                <w:kern w:val="0"/>
                <w:sz w:val="24"/>
              </w:rPr>
              <w:t>3</w:t>
            </w:r>
          </w:p>
        </w:tc>
        <w:tc>
          <w:tcPr>
            <w:tcW w:w="1615" w:type="dxa"/>
            <w:tcBorders>
              <w:top w:val="single" w:color="auto" w:sz="4" w:space="0"/>
              <w:left w:val="single" w:color="auto" w:sz="4" w:space="0"/>
              <w:bottom w:val="single" w:color="auto" w:sz="4" w:space="0"/>
              <w:right w:val="single" w:color="auto" w:sz="4" w:space="0"/>
            </w:tcBorders>
            <w:vAlign w:val="center"/>
          </w:tcPr>
          <w:p w14:paraId="06DD2405">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cs="宋体"/>
                <w:kern w:val="0"/>
                <w:sz w:val="24"/>
              </w:rPr>
              <w:t>运维季度报告</w:t>
            </w:r>
          </w:p>
        </w:tc>
        <w:tc>
          <w:tcPr>
            <w:tcW w:w="4230" w:type="dxa"/>
            <w:tcBorders>
              <w:top w:val="single" w:color="auto" w:sz="4" w:space="0"/>
              <w:left w:val="single" w:color="auto" w:sz="4" w:space="0"/>
              <w:bottom w:val="single" w:color="auto" w:sz="4" w:space="0"/>
              <w:right w:val="single" w:color="auto" w:sz="4" w:space="0"/>
            </w:tcBorders>
            <w:vAlign w:val="center"/>
          </w:tcPr>
          <w:p w14:paraId="6CBB892A">
            <w:pPr>
              <w:widowControl/>
              <w:spacing w:before="100" w:beforeAutospacing="1" w:after="100" w:afterAutospacing="1" w:line="360" w:lineRule="auto"/>
              <w:ind w:firstLine="0" w:firstLineChars="0"/>
              <w:rPr>
                <w:rFonts w:hint="eastAsia" w:ascii="宋体" w:hAnsi="宋体" w:cs="宋体"/>
                <w:kern w:val="0"/>
                <w:sz w:val="24"/>
              </w:rPr>
            </w:pPr>
            <w:r>
              <w:rPr>
                <w:rFonts w:ascii="宋体" w:hAnsi="宋体" w:cs="宋体"/>
                <w:kern w:val="0"/>
                <w:sz w:val="24"/>
              </w:rPr>
              <w:t>总结本</w:t>
            </w:r>
            <w:r>
              <w:rPr>
                <w:rFonts w:hint="eastAsia" w:ascii="宋体" w:hAnsi="宋体" w:cs="宋体"/>
                <w:kern w:val="0"/>
                <w:sz w:val="24"/>
              </w:rPr>
              <w:t>季度</w:t>
            </w:r>
            <w:r>
              <w:rPr>
                <w:rFonts w:ascii="宋体" w:hAnsi="宋体" w:cs="宋体"/>
                <w:kern w:val="0"/>
                <w:sz w:val="24"/>
              </w:rPr>
              <w:t>系统运维情况，分析运维过程中出现的问题，制定下</w:t>
            </w:r>
            <w:r>
              <w:rPr>
                <w:rFonts w:hint="eastAsia" w:ascii="宋体" w:hAnsi="宋体" w:cs="宋体"/>
                <w:kern w:val="0"/>
                <w:sz w:val="24"/>
              </w:rPr>
              <w:t>季度</w:t>
            </w:r>
            <w:r>
              <w:rPr>
                <w:rFonts w:ascii="宋体" w:hAnsi="宋体" w:cs="宋体"/>
                <w:kern w:val="0"/>
                <w:sz w:val="24"/>
              </w:rPr>
              <w:t>工作计划。</w:t>
            </w:r>
          </w:p>
        </w:tc>
        <w:tc>
          <w:tcPr>
            <w:tcW w:w="774" w:type="dxa"/>
            <w:tcBorders>
              <w:top w:val="single" w:color="auto" w:sz="4" w:space="0"/>
              <w:left w:val="single" w:color="auto" w:sz="4" w:space="0"/>
              <w:bottom w:val="single" w:color="auto" w:sz="4" w:space="0"/>
              <w:right w:val="single" w:color="auto" w:sz="4" w:space="0"/>
            </w:tcBorders>
            <w:vAlign w:val="center"/>
          </w:tcPr>
          <w:p w14:paraId="7189F6AF">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cs="宋体"/>
                <w:kern w:val="0"/>
                <w:sz w:val="24"/>
              </w:rPr>
              <w:t>每季度</w:t>
            </w:r>
          </w:p>
        </w:tc>
        <w:tc>
          <w:tcPr>
            <w:tcW w:w="1746" w:type="dxa"/>
            <w:tcBorders>
              <w:top w:val="single" w:color="auto" w:sz="4" w:space="0"/>
              <w:left w:val="single" w:color="auto" w:sz="4" w:space="0"/>
              <w:bottom w:val="single" w:color="auto" w:sz="4" w:space="0"/>
              <w:right w:val="single" w:color="auto" w:sz="4" w:space="0"/>
            </w:tcBorders>
            <w:vAlign w:val="center"/>
          </w:tcPr>
          <w:p w14:paraId="54C97D1A">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eastAsia="宋体" w:cs="宋体"/>
                <w:color w:val="000000"/>
                <w:kern w:val="0"/>
                <w:sz w:val="24"/>
                <w:szCs w:val="24"/>
                <w:lang w:bidi="ar"/>
              </w:rPr>
              <w:t>提交文档</w:t>
            </w:r>
          </w:p>
        </w:tc>
      </w:tr>
      <w:tr w14:paraId="60185168">
        <w:tblPrEx>
          <w:tblCellMar>
            <w:top w:w="0" w:type="dxa"/>
            <w:left w:w="0" w:type="dxa"/>
            <w:bottom w:w="0" w:type="dxa"/>
            <w:right w:w="0"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03BB41EB">
            <w:pPr>
              <w:widowControl/>
              <w:spacing w:before="100" w:beforeAutospacing="1" w:after="100" w:afterAutospacing="1" w:line="360" w:lineRule="auto"/>
              <w:ind w:firstLine="0" w:firstLineChars="0"/>
              <w:jc w:val="center"/>
              <w:rPr>
                <w:rFonts w:hint="eastAsia" w:ascii="宋体" w:hAnsi="宋体" w:eastAsia="宋体" w:cs="宋体"/>
                <w:kern w:val="0"/>
                <w:sz w:val="24"/>
              </w:rPr>
            </w:pPr>
            <w:r>
              <w:rPr>
                <w:rFonts w:hint="eastAsia" w:ascii="宋体" w:hAnsi="宋体" w:cs="宋体"/>
                <w:kern w:val="0"/>
                <w:sz w:val="24"/>
              </w:rPr>
              <w:t>4</w:t>
            </w:r>
          </w:p>
        </w:tc>
        <w:tc>
          <w:tcPr>
            <w:tcW w:w="1615" w:type="dxa"/>
            <w:tcBorders>
              <w:top w:val="single" w:color="auto" w:sz="4" w:space="0"/>
              <w:left w:val="single" w:color="auto" w:sz="4" w:space="0"/>
              <w:bottom w:val="single" w:color="auto" w:sz="4" w:space="0"/>
              <w:right w:val="single" w:color="auto" w:sz="4" w:space="0"/>
            </w:tcBorders>
            <w:vAlign w:val="center"/>
          </w:tcPr>
          <w:p w14:paraId="41DC8C31">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cs="宋体"/>
                <w:kern w:val="0"/>
                <w:sz w:val="24"/>
              </w:rPr>
              <w:t>半年度工作总结</w:t>
            </w:r>
          </w:p>
        </w:tc>
        <w:tc>
          <w:tcPr>
            <w:tcW w:w="4230" w:type="dxa"/>
            <w:tcBorders>
              <w:top w:val="single" w:color="auto" w:sz="4" w:space="0"/>
              <w:left w:val="single" w:color="auto" w:sz="4" w:space="0"/>
              <w:bottom w:val="single" w:color="auto" w:sz="4" w:space="0"/>
              <w:right w:val="single" w:color="auto" w:sz="4" w:space="0"/>
            </w:tcBorders>
            <w:vAlign w:val="center"/>
          </w:tcPr>
          <w:p w14:paraId="44FB1A01">
            <w:pPr>
              <w:widowControl/>
              <w:spacing w:before="100" w:beforeAutospacing="1" w:after="100" w:afterAutospacing="1" w:line="360" w:lineRule="auto"/>
              <w:ind w:firstLine="0" w:firstLineChars="0"/>
              <w:rPr>
                <w:rFonts w:hint="eastAsia" w:ascii="宋体" w:hAnsi="宋体" w:cs="宋体"/>
                <w:kern w:val="0"/>
                <w:sz w:val="24"/>
              </w:rPr>
            </w:pPr>
            <w:r>
              <w:rPr>
                <w:rFonts w:ascii="宋体" w:hAnsi="宋体" w:cs="宋体"/>
                <w:kern w:val="0"/>
                <w:sz w:val="24"/>
              </w:rPr>
              <w:t>总结</w:t>
            </w:r>
            <w:r>
              <w:rPr>
                <w:rFonts w:hint="eastAsia" w:ascii="宋体" w:hAnsi="宋体" w:cs="宋体"/>
                <w:kern w:val="0"/>
                <w:sz w:val="24"/>
              </w:rPr>
              <w:t>半年度</w:t>
            </w:r>
            <w:r>
              <w:rPr>
                <w:rFonts w:ascii="宋体" w:hAnsi="宋体" w:cs="宋体"/>
                <w:kern w:val="0"/>
                <w:sz w:val="24"/>
              </w:rPr>
              <w:t>系统运维情况和服务考核指标完成情况。</w:t>
            </w:r>
          </w:p>
        </w:tc>
        <w:tc>
          <w:tcPr>
            <w:tcW w:w="774" w:type="dxa"/>
            <w:tcBorders>
              <w:top w:val="single" w:color="auto" w:sz="4" w:space="0"/>
              <w:left w:val="single" w:color="auto" w:sz="4" w:space="0"/>
              <w:bottom w:val="single" w:color="auto" w:sz="4" w:space="0"/>
              <w:right w:val="single" w:color="auto" w:sz="4" w:space="0"/>
            </w:tcBorders>
            <w:vAlign w:val="center"/>
          </w:tcPr>
          <w:p w14:paraId="702168E9">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cs="宋体"/>
                <w:kern w:val="0"/>
                <w:sz w:val="24"/>
              </w:rPr>
              <w:t>每半年</w:t>
            </w:r>
          </w:p>
        </w:tc>
        <w:tc>
          <w:tcPr>
            <w:tcW w:w="1746" w:type="dxa"/>
            <w:tcBorders>
              <w:top w:val="single" w:color="auto" w:sz="4" w:space="0"/>
              <w:left w:val="single" w:color="auto" w:sz="4" w:space="0"/>
              <w:bottom w:val="single" w:color="auto" w:sz="4" w:space="0"/>
              <w:right w:val="single" w:color="auto" w:sz="4" w:space="0"/>
            </w:tcBorders>
            <w:vAlign w:val="center"/>
          </w:tcPr>
          <w:p w14:paraId="4CC29699">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eastAsia="宋体" w:cs="宋体"/>
                <w:color w:val="000000"/>
                <w:kern w:val="0"/>
                <w:sz w:val="24"/>
                <w:szCs w:val="24"/>
                <w:lang w:bidi="ar"/>
              </w:rPr>
              <w:t>提交文档</w:t>
            </w:r>
          </w:p>
        </w:tc>
      </w:tr>
      <w:tr w14:paraId="54ADA882">
        <w:tblPrEx>
          <w:tblCellMar>
            <w:top w:w="0" w:type="dxa"/>
            <w:left w:w="0" w:type="dxa"/>
            <w:bottom w:w="0" w:type="dxa"/>
            <w:right w:w="0"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1FF7FD37">
            <w:pPr>
              <w:widowControl/>
              <w:spacing w:before="100" w:beforeAutospacing="1" w:after="100" w:afterAutospacing="1" w:line="360" w:lineRule="auto"/>
              <w:ind w:firstLine="0" w:firstLineChars="0"/>
              <w:jc w:val="center"/>
              <w:rPr>
                <w:rFonts w:hint="eastAsia" w:ascii="宋体" w:hAnsi="宋体" w:eastAsia="宋体" w:cs="宋体"/>
                <w:kern w:val="0"/>
                <w:sz w:val="24"/>
              </w:rPr>
            </w:pPr>
            <w:r>
              <w:rPr>
                <w:rFonts w:hint="eastAsia" w:ascii="宋体" w:hAnsi="宋体" w:cs="宋体"/>
                <w:kern w:val="0"/>
                <w:sz w:val="24"/>
              </w:rPr>
              <w:t>5</w:t>
            </w:r>
          </w:p>
        </w:tc>
        <w:tc>
          <w:tcPr>
            <w:tcW w:w="1615" w:type="dxa"/>
            <w:tcBorders>
              <w:top w:val="single" w:color="auto" w:sz="4" w:space="0"/>
              <w:left w:val="single" w:color="auto" w:sz="4" w:space="0"/>
              <w:bottom w:val="single" w:color="auto" w:sz="4" w:space="0"/>
              <w:right w:val="single" w:color="auto" w:sz="4" w:space="0"/>
            </w:tcBorders>
            <w:vAlign w:val="center"/>
          </w:tcPr>
          <w:p w14:paraId="07B9F92E">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年终工作总结</w:t>
            </w:r>
          </w:p>
        </w:tc>
        <w:tc>
          <w:tcPr>
            <w:tcW w:w="4230" w:type="dxa"/>
            <w:tcBorders>
              <w:top w:val="single" w:color="auto" w:sz="4" w:space="0"/>
              <w:left w:val="single" w:color="auto" w:sz="4" w:space="0"/>
              <w:bottom w:val="single" w:color="auto" w:sz="4" w:space="0"/>
              <w:right w:val="single" w:color="auto" w:sz="4" w:space="0"/>
            </w:tcBorders>
            <w:vAlign w:val="center"/>
          </w:tcPr>
          <w:p w14:paraId="04991728">
            <w:pPr>
              <w:widowControl/>
              <w:spacing w:before="100" w:beforeAutospacing="1" w:after="100" w:afterAutospacing="1" w:line="360" w:lineRule="auto"/>
              <w:ind w:firstLine="0" w:firstLineChars="0"/>
              <w:rPr>
                <w:rFonts w:hint="eastAsia" w:ascii="宋体" w:hAnsi="宋体" w:cs="宋体"/>
                <w:kern w:val="0"/>
                <w:sz w:val="24"/>
              </w:rPr>
            </w:pPr>
            <w:r>
              <w:rPr>
                <w:rFonts w:ascii="宋体" w:hAnsi="宋体" w:cs="宋体"/>
                <w:kern w:val="0"/>
                <w:sz w:val="24"/>
              </w:rPr>
              <w:t>总结全年系统运维情况和服务考核指标完成情况。</w:t>
            </w:r>
          </w:p>
        </w:tc>
        <w:tc>
          <w:tcPr>
            <w:tcW w:w="774" w:type="dxa"/>
            <w:tcBorders>
              <w:top w:val="single" w:color="auto" w:sz="4" w:space="0"/>
              <w:left w:val="single" w:color="auto" w:sz="4" w:space="0"/>
              <w:bottom w:val="single" w:color="auto" w:sz="4" w:space="0"/>
              <w:right w:val="single" w:color="auto" w:sz="4" w:space="0"/>
            </w:tcBorders>
            <w:vAlign w:val="center"/>
          </w:tcPr>
          <w:p w14:paraId="001A0AEA">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每年</w:t>
            </w:r>
          </w:p>
        </w:tc>
        <w:tc>
          <w:tcPr>
            <w:tcW w:w="1746" w:type="dxa"/>
            <w:tcBorders>
              <w:top w:val="single" w:color="auto" w:sz="4" w:space="0"/>
              <w:left w:val="single" w:color="auto" w:sz="4" w:space="0"/>
              <w:bottom w:val="single" w:color="auto" w:sz="4" w:space="0"/>
              <w:right w:val="single" w:color="auto" w:sz="4" w:space="0"/>
            </w:tcBorders>
            <w:vAlign w:val="center"/>
          </w:tcPr>
          <w:p w14:paraId="02215B06">
            <w:pPr>
              <w:widowControl/>
              <w:spacing w:before="100" w:beforeAutospacing="1" w:after="100" w:afterAutospacing="1" w:line="360" w:lineRule="auto"/>
              <w:ind w:firstLine="0" w:firstLineChars="0"/>
              <w:jc w:val="center"/>
              <w:rPr>
                <w:rFonts w:hint="eastAsia" w:ascii="宋体" w:hAnsi="宋体" w:cs="宋体"/>
                <w:kern w:val="0"/>
                <w:sz w:val="24"/>
              </w:rPr>
            </w:pPr>
            <w:r>
              <w:rPr>
                <w:rFonts w:hint="eastAsia" w:ascii="宋体" w:hAnsi="宋体" w:eastAsia="宋体" w:cs="宋体"/>
                <w:color w:val="000000"/>
                <w:kern w:val="0"/>
                <w:sz w:val="24"/>
                <w:szCs w:val="24"/>
                <w:lang w:bidi="ar"/>
              </w:rPr>
              <w:t>提交文档</w:t>
            </w:r>
          </w:p>
        </w:tc>
      </w:tr>
      <w:tr w14:paraId="21364F0C">
        <w:tblPrEx>
          <w:tblCellMar>
            <w:top w:w="0" w:type="dxa"/>
            <w:left w:w="0" w:type="dxa"/>
            <w:bottom w:w="0" w:type="dxa"/>
            <w:right w:w="0"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25265557">
            <w:pPr>
              <w:widowControl/>
              <w:spacing w:before="100" w:beforeAutospacing="1" w:after="100" w:afterAutospacing="1" w:line="360" w:lineRule="auto"/>
              <w:ind w:firstLine="0" w:firstLineChars="0"/>
              <w:jc w:val="center"/>
              <w:rPr>
                <w:rFonts w:hint="eastAsia" w:ascii="宋体" w:hAnsi="宋体" w:eastAsia="宋体" w:cs="宋体"/>
                <w:kern w:val="0"/>
                <w:sz w:val="24"/>
              </w:rPr>
            </w:pPr>
            <w:r>
              <w:rPr>
                <w:rFonts w:hint="eastAsia" w:ascii="宋体" w:hAnsi="宋体" w:cs="宋体"/>
                <w:kern w:val="0"/>
                <w:sz w:val="24"/>
              </w:rPr>
              <w:t>6</w:t>
            </w:r>
          </w:p>
        </w:tc>
        <w:tc>
          <w:tcPr>
            <w:tcW w:w="1615" w:type="dxa"/>
            <w:tcBorders>
              <w:top w:val="single" w:color="auto" w:sz="4" w:space="0"/>
              <w:left w:val="single" w:color="auto" w:sz="4" w:space="0"/>
              <w:bottom w:val="single" w:color="auto" w:sz="4" w:space="0"/>
              <w:right w:val="single" w:color="auto" w:sz="4" w:space="0"/>
            </w:tcBorders>
            <w:vAlign w:val="center"/>
          </w:tcPr>
          <w:p w14:paraId="4AA4A127">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配置信息</w:t>
            </w:r>
          </w:p>
        </w:tc>
        <w:tc>
          <w:tcPr>
            <w:tcW w:w="4230" w:type="dxa"/>
            <w:tcBorders>
              <w:top w:val="single" w:color="auto" w:sz="4" w:space="0"/>
              <w:left w:val="single" w:color="auto" w:sz="4" w:space="0"/>
              <w:bottom w:val="single" w:color="auto" w:sz="4" w:space="0"/>
              <w:right w:val="single" w:color="auto" w:sz="4" w:space="0"/>
            </w:tcBorders>
            <w:vAlign w:val="center"/>
          </w:tcPr>
          <w:p w14:paraId="28C73800">
            <w:pPr>
              <w:widowControl/>
              <w:spacing w:before="100" w:beforeAutospacing="1" w:after="100" w:afterAutospacing="1" w:line="360" w:lineRule="auto"/>
              <w:ind w:firstLine="0" w:firstLineChars="0"/>
              <w:rPr>
                <w:rFonts w:hint="eastAsia" w:ascii="宋体" w:hAnsi="宋体" w:cs="宋体"/>
                <w:kern w:val="0"/>
                <w:sz w:val="24"/>
              </w:rPr>
            </w:pPr>
            <w:r>
              <w:rPr>
                <w:rFonts w:ascii="宋体" w:hAnsi="宋体" w:cs="宋体"/>
                <w:kern w:val="0"/>
                <w:sz w:val="24"/>
              </w:rPr>
              <w:t>IT基础设施系统各系统（设备），如</w:t>
            </w:r>
            <w:r>
              <w:rPr>
                <w:rFonts w:hint="eastAsia" w:ascii="宋体" w:hAnsi="宋体" w:cs="宋体"/>
                <w:kern w:val="0"/>
                <w:sz w:val="24"/>
              </w:rPr>
              <w:t>IP、</w:t>
            </w:r>
            <w:r>
              <w:rPr>
                <w:rFonts w:ascii="宋体" w:hAnsi="宋体" w:cs="宋体"/>
                <w:kern w:val="0"/>
                <w:sz w:val="24"/>
              </w:rPr>
              <w:t>网络等设备的配置信息。定期备份，并向信息</w:t>
            </w:r>
            <w:r>
              <w:rPr>
                <w:rFonts w:hint="eastAsia" w:ascii="宋体" w:hAnsi="宋体" w:cs="宋体"/>
                <w:kern w:val="0"/>
                <w:sz w:val="24"/>
              </w:rPr>
              <w:t>中心</w:t>
            </w:r>
            <w:r>
              <w:rPr>
                <w:rFonts w:ascii="宋体" w:hAnsi="宋体" w:cs="宋体"/>
                <w:kern w:val="0"/>
                <w:sz w:val="24"/>
              </w:rPr>
              <w:t>备案。</w:t>
            </w:r>
          </w:p>
        </w:tc>
        <w:tc>
          <w:tcPr>
            <w:tcW w:w="774" w:type="dxa"/>
            <w:tcBorders>
              <w:top w:val="single" w:color="auto" w:sz="4" w:space="0"/>
              <w:left w:val="single" w:color="auto" w:sz="4" w:space="0"/>
              <w:bottom w:val="single" w:color="auto" w:sz="4" w:space="0"/>
              <w:right w:val="single" w:color="auto" w:sz="4" w:space="0"/>
            </w:tcBorders>
            <w:vAlign w:val="center"/>
          </w:tcPr>
          <w:p w14:paraId="7DBC21E0">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不定期</w:t>
            </w:r>
          </w:p>
        </w:tc>
        <w:tc>
          <w:tcPr>
            <w:tcW w:w="1746" w:type="dxa"/>
            <w:tcBorders>
              <w:top w:val="single" w:color="auto" w:sz="4" w:space="0"/>
              <w:left w:val="single" w:color="auto" w:sz="4" w:space="0"/>
              <w:bottom w:val="single" w:color="auto" w:sz="4" w:space="0"/>
              <w:right w:val="single" w:color="auto" w:sz="4" w:space="0"/>
            </w:tcBorders>
            <w:vAlign w:val="center"/>
          </w:tcPr>
          <w:p w14:paraId="356C9253">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变更后提交新版</w:t>
            </w:r>
          </w:p>
        </w:tc>
      </w:tr>
      <w:tr w14:paraId="5DFC11DB">
        <w:tblPrEx>
          <w:tblCellMar>
            <w:top w:w="0" w:type="dxa"/>
            <w:left w:w="0" w:type="dxa"/>
            <w:bottom w:w="0" w:type="dxa"/>
            <w:right w:w="0" w:type="dxa"/>
          </w:tblCellMar>
        </w:tblPrEx>
        <w:trPr>
          <w:jc w:val="center"/>
        </w:trPr>
        <w:tc>
          <w:tcPr>
            <w:tcW w:w="615" w:type="dxa"/>
            <w:tcBorders>
              <w:top w:val="single" w:color="auto" w:sz="4" w:space="0"/>
              <w:left w:val="single" w:color="auto" w:sz="4" w:space="0"/>
              <w:bottom w:val="single" w:color="auto" w:sz="4" w:space="0"/>
              <w:right w:val="single" w:color="auto" w:sz="4" w:space="0"/>
            </w:tcBorders>
            <w:vAlign w:val="center"/>
          </w:tcPr>
          <w:p w14:paraId="3B83517B">
            <w:pPr>
              <w:widowControl/>
              <w:spacing w:before="100" w:beforeAutospacing="1" w:after="100" w:afterAutospacing="1" w:line="360" w:lineRule="auto"/>
              <w:ind w:firstLine="0" w:firstLineChars="0"/>
              <w:jc w:val="center"/>
              <w:rPr>
                <w:rFonts w:hint="eastAsia" w:ascii="宋体" w:hAnsi="宋体" w:eastAsia="宋体" w:cs="宋体"/>
                <w:kern w:val="0"/>
                <w:sz w:val="24"/>
              </w:rPr>
            </w:pPr>
            <w:r>
              <w:rPr>
                <w:rFonts w:hint="eastAsia" w:ascii="宋体" w:hAnsi="宋体" w:cs="宋体"/>
                <w:kern w:val="0"/>
                <w:sz w:val="24"/>
              </w:rPr>
              <w:t>7</w:t>
            </w:r>
          </w:p>
        </w:tc>
        <w:tc>
          <w:tcPr>
            <w:tcW w:w="1615" w:type="dxa"/>
            <w:tcBorders>
              <w:top w:val="single" w:color="auto" w:sz="4" w:space="0"/>
              <w:left w:val="single" w:color="auto" w:sz="4" w:space="0"/>
              <w:bottom w:val="single" w:color="auto" w:sz="4" w:space="0"/>
              <w:right w:val="single" w:color="auto" w:sz="4" w:space="0"/>
            </w:tcBorders>
            <w:vAlign w:val="center"/>
          </w:tcPr>
          <w:p w14:paraId="37D9B885">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技术文档</w:t>
            </w:r>
          </w:p>
        </w:tc>
        <w:tc>
          <w:tcPr>
            <w:tcW w:w="4230" w:type="dxa"/>
            <w:tcBorders>
              <w:top w:val="single" w:color="auto" w:sz="4" w:space="0"/>
              <w:left w:val="single" w:color="auto" w:sz="4" w:space="0"/>
              <w:bottom w:val="single" w:color="auto" w:sz="4" w:space="0"/>
              <w:right w:val="single" w:color="auto" w:sz="4" w:space="0"/>
            </w:tcBorders>
            <w:vAlign w:val="center"/>
          </w:tcPr>
          <w:p w14:paraId="3688A22E">
            <w:pPr>
              <w:widowControl/>
              <w:spacing w:before="100" w:beforeAutospacing="1" w:after="100" w:afterAutospacing="1" w:line="360" w:lineRule="auto"/>
              <w:ind w:firstLine="0" w:firstLineChars="0"/>
              <w:rPr>
                <w:rFonts w:hint="eastAsia" w:ascii="宋体" w:hAnsi="宋体" w:cs="宋体"/>
                <w:kern w:val="0"/>
                <w:sz w:val="24"/>
              </w:rPr>
            </w:pPr>
            <w:r>
              <w:rPr>
                <w:rFonts w:ascii="宋体" w:hAnsi="宋体" w:cs="宋体"/>
                <w:kern w:val="0"/>
                <w:sz w:val="24"/>
              </w:rPr>
              <w:t>IT基础设施各类技术文档，如网络、</w:t>
            </w:r>
            <w:r>
              <w:rPr>
                <w:rFonts w:hint="eastAsia" w:ascii="宋体" w:hAnsi="宋体" w:cs="宋体"/>
                <w:kern w:val="0"/>
                <w:sz w:val="24"/>
              </w:rPr>
              <w:t>IP</w:t>
            </w:r>
            <w:r>
              <w:rPr>
                <w:rFonts w:ascii="宋体" w:hAnsi="宋体" w:cs="宋体"/>
                <w:kern w:val="0"/>
                <w:sz w:val="24"/>
              </w:rPr>
              <w:t>地址分配、支持和管理的系统信息等。</w:t>
            </w:r>
          </w:p>
        </w:tc>
        <w:tc>
          <w:tcPr>
            <w:tcW w:w="774" w:type="dxa"/>
            <w:tcBorders>
              <w:top w:val="single" w:color="auto" w:sz="4" w:space="0"/>
              <w:left w:val="single" w:color="auto" w:sz="4" w:space="0"/>
              <w:bottom w:val="single" w:color="auto" w:sz="4" w:space="0"/>
              <w:right w:val="single" w:color="auto" w:sz="4" w:space="0"/>
            </w:tcBorders>
            <w:vAlign w:val="center"/>
          </w:tcPr>
          <w:p w14:paraId="32C28CB6">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不定期</w:t>
            </w:r>
          </w:p>
        </w:tc>
        <w:tc>
          <w:tcPr>
            <w:tcW w:w="1746" w:type="dxa"/>
            <w:tcBorders>
              <w:top w:val="single" w:color="auto" w:sz="4" w:space="0"/>
              <w:left w:val="single" w:color="auto" w:sz="4" w:space="0"/>
              <w:bottom w:val="single" w:color="auto" w:sz="4" w:space="0"/>
              <w:right w:val="single" w:color="auto" w:sz="4" w:space="0"/>
            </w:tcBorders>
            <w:vAlign w:val="center"/>
          </w:tcPr>
          <w:p w14:paraId="6C9CFF53">
            <w:pPr>
              <w:widowControl/>
              <w:spacing w:before="100" w:beforeAutospacing="1" w:after="100" w:afterAutospacing="1" w:line="360" w:lineRule="auto"/>
              <w:ind w:firstLine="0" w:firstLineChars="0"/>
              <w:jc w:val="center"/>
              <w:rPr>
                <w:rFonts w:hint="eastAsia" w:ascii="宋体" w:hAnsi="宋体" w:cs="宋体"/>
                <w:kern w:val="0"/>
                <w:sz w:val="24"/>
              </w:rPr>
            </w:pPr>
            <w:r>
              <w:rPr>
                <w:rFonts w:ascii="宋体" w:hAnsi="宋体" w:cs="宋体"/>
                <w:kern w:val="0"/>
                <w:sz w:val="24"/>
              </w:rPr>
              <w:t>变更后提交新版</w:t>
            </w:r>
          </w:p>
        </w:tc>
      </w:tr>
    </w:tbl>
    <w:p w14:paraId="2A45DE65">
      <w:pPr>
        <w:spacing w:line="360" w:lineRule="auto"/>
        <w:ind w:firstLine="482"/>
        <w:rPr>
          <w:b/>
          <w:sz w:val="24"/>
        </w:rPr>
      </w:pPr>
    </w:p>
    <w:p w14:paraId="55718861">
      <w:pPr>
        <w:numPr>
          <w:ilvl w:val="0"/>
          <w:numId w:val="1"/>
        </w:numPr>
        <w:spacing w:line="360" w:lineRule="auto"/>
        <w:ind w:firstLineChars="0"/>
        <w:outlineLvl w:val="0"/>
        <w:rPr>
          <w:b/>
          <w:sz w:val="24"/>
        </w:rPr>
      </w:pPr>
      <w:r>
        <w:rPr>
          <w:rFonts w:hint="eastAsia"/>
          <w:b/>
          <w:sz w:val="24"/>
        </w:rPr>
        <w:t>对投标人运维考核管理</w:t>
      </w:r>
    </w:p>
    <w:p w14:paraId="7F89DA36">
      <w:pPr>
        <w:spacing w:line="360" w:lineRule="auto"/>
        <w:ind w:firstLine="480"/>
        <w:outlineLvl w:val="1"/>
        <w:rPr>
          <w:sz w:val="24"/>
        </w:rPr>
      </w:pPr>
      <w:r>
        <w:rPr>
          <w:rFonts w:hint="eastAsia"/>
          <w:sz w:val="24"/>
        </w:rPr>
        <w:t>1、运维人员合理组织、合理分工，责任到人，制定岗位评估考核标准；</w:t>
      </w:r>
    </w:p>
    <w:p w14:paraId="668535D0">
      <w:pPr>
        <w:spacing w:line="360" w:lineRule="auto"/>
        <w:ind w:firstLine="480"/>
        <w:rPr>
          <w:sz w:val="24"/>
        </w:rPr>
      </w:pPr>
      <w:r>
        <w:rPr>
          <w:rFonts w:hint="eastAsia"/>
          <w:sz w:val="24"/>
        </w:rPr>
        <w:t>2、处理问题响应及时有效，桌面系统服务未按指定时间响应，每次扣1000元；</w:t>
      </w:r>
    </w:p>
    <w:p w14:paraId="1F6E517E">
      <w:pPr>
        <w:spacing w:line="360" w:lineRule="auto"/>
        <w:ind w:firstLine="480"/>
        <w:rPr>
          <w:sz w:val="24"/>
        </w:rPr>
      </w:pPr>
      <w:r>
        <w:rPr>
          <w:rFonts w:hint="eastAsia"/>
          <w:sz w:val="24"/>
        </w:rPr>
        <w:t>3、用户评价调查满意度要求大于95%；用户投诉，一经查实，每次扣1000元，用户满意度低于指标要求，一次性扣1000元；</w:t>
      </w:r>
    </w:p>
    <w:p w14:paraId="66391BF3">
      <w:pPr>
        <w:spacing w:line="360" w:lineRule="auto"/>
        <w:ind w:firstLine="480"/>
        <w:rPr>
          <w:sz w:val="24"/>
        </w:rPr>
      </w:pPr>
      <w:r>
        <w:rPr>
          <w:rFonts w:hint="eastAsia"/>
          <w:sz w:val="24"/>
        </w:rPr>
        <w:t>4、主动定期巡检并提交报告；</w:t>
      </w:r>
    </w:p>
    <w:p w14:paraId="37F21690">
      <w:pPr>
        <w:spacing w:line="360" w:lineRule="auto"/>
        <w:ind w:firstLine="480"/>
        <w:rPr>
          <w:sz w:val="24"/>
        </w:rPr>
      </w:pPr>
      <w:r>
        <w:rPr>
          <w:rFonts w:hint="eastAsia"/>
          <w:sz w:val="24"/>
        </w:rPr>
        <w:t>5、定期做故障分析与改进措施；</w:t>
      </w:r>
    </w:p>
    <w:p w14:paraId="5D58719F">
      <w:pPr>
        <w:spacing w:line="360" w:lineRule="auto"/>
        <w:ind w:firstLine="480"/>
        <w:rPr>
          <w:sz w:val="24"/>
        </w:rPr>
      </w:pPr>
      <w:r>
        <w:rPr>
          <w:rFonts w:hint="eastAsia"/>
          <w:sz w:val="24"/>
        </w:rPr>
        <w:t>6、因运维工作不到位，系统出现重大事故，致使业务超过30分钟不能恢复，出现一次扣2000元，以后每出现一次故障，在上一次扣款额度上，增扣1000元，单次最高不得超过5000元，因不可抗拒因素或应用软件系统缺陷导致的系统故障不计算在内；</w:t>
      </w:r>
    </w:p>
    <w:p w14:paraId="250BBC67">
      <w:pPr>
        <w:spacing w:line="360" w:lineRule="auto"/>
        <w:ind w:firstLine="480"/>
        <w:rPr>
          <w:sz w:val="24"/>
        </w:rPr>
      </w:pPr>
      <w:r>
        <w:rPr>
          <w:rFonts w:hint="eastAsia"/>
          <w:sz w:val="24"/>
        </w:rPr>
        <w:t>7、为促进服务和管理的规范化和标准化，保证服务的质量和管理的效率，确保运维服务的持续改进，要求外包公司对运维人员有相关认证考试培训，具备专业终端运维资质；</w:t>
      </w:r>
    </w:p>
    <w:p w14:paraId="4E477483">
      <w:pPr>
        <w:spacing w:line="360" w:lineRule="auto"/>
        <w:ind w:firstLine="480"/>
        <w:rPr>
          <w:sz w:val="24"/>
        </w:rPr>
      </w:pPr>
      <w:r>
        <w:rPr>
          <w:rFonts w:hint="eastAsia"/>
          <w:sz w:val="24"/>
        </w:rPr>
        <w:t xml:space="preserve">8、运维人员应以诚信的态度，专业的技术水平，为肿瘤医院廊坊院区提供优质服务，医院将以运维质量指标作为考核终端运维外包公司年度工作的依据。 </w:t>
      </w:r>
    </w:p>
    <w:p w14:paraId="264DAF2A">
      <w:pPr>
        <w:spacing w:line="360" w:lineRule="auto"/>
        <w:ind w:firstLine="480"/>
        <w:rPr>
          <w:sz w:val="24"/>
        </w:rPr>
      </w:pPr>
      <w:r>
        <w:rPr>
          <w:rFonts w:hint="eastAsia" w:ascii="Times New Roman" w:hAnsi="Times New Roman" w:cs="Times New Roman"/>
          <w:sz w:val="24"/>
        </w:rPr>
        <w:t xml:space="preserve">9、如果院方认为运维人员在工作中未完成应有工作量或因工作疏忽造成院方损失，院方有权从应支付的费用中扣除相应的款项（含第 </w:t>
      </w:r>
      <w:r>
        <w:rPr>
          <w:rFonts w:ascii="Times New Roman" w:hAnsi="Times New Roman" w:cs="Times New Roman"/>
          <w:sz w:val="24"/>
        </w:rPr>
        <w:t xml:space="preserve">6 </w:t>
      </w:r>
      <w:r>
        <w:rPr>
          <w:rFonts w:hint="eastAsia" w:ascii="Times New Roman" w:hAnsi="Times New Roman" w:cs="Times New Roman"/>
          <w:sz w:val="24"/>
        </w:rPr>
        <w:t>项的扣除罚款）；</w:t>
      </w:r>
    </w:p>
    <w:p w14:paraId="0D45B57A">
      <w:pPr>
        <w:spacing w:line="360" w:lineRule="auto"/>
        <w:ind w:firstLine="480"/>
        <w:rPr>
          <w:sz w:val="24"/>
        </w:rPr>
      </w:pPr>
      <w:r>
        <w:rPr>
          <w:rFonts w:hint="eastAsia"/>
          <w:sz w:val="24"/>
        </w:rPr>
        <w:t>10、如果院方认为运维人员在工作中未尽到应有的主要义务或无法胜任工作，院方有权要求更换，并在一周内提供合适的候选人供院方挑选并上岗工作。</w:t>
      </w:r>
    </w:p>
    <w:p w14:paraId="464FCD48">
      <w:pPr>
        <w:spacing w:line="360" w:lineRule="auto"/>
        <w:ind w:firstLine="480"/>
        <w:rPr>
          <w:sz w:val="24"/>
        </w:rPr>
      </w:pPr>
      <w:r>
        <w:rPr>
          <w:rFonts w:hint="eastAsia"/>
          <w:sz w:val="24"/>
        </w:rPr>
        <w:t>11、人员应保证在本项目常驻 1 年以上。若临时请假，应有备班人员；若离职，需提前 2 个月申请，与新入职人员完成交接且新入职人员考核合格后，方可离职。</w:t>
      </w:r>
    </w:p>
    <w:p w14:paraId="7E831353">
      <w:pPr>
        <w:numPr>
          <w:ilvl w:val="0"/>
          <w:numId w:val="1"/>
        </w:numPr>
        <w:spacing w:line="360" w:lineRule="auto"/>
        <w:ind w:firstLineChars="0"/>
        <w:outlineLvl w:val="0"/>
        <w:rPr>
          <w:b/>
          <w:sz w:val="24"/>
        </w:rPr>
      </w:pPr>
      <w:r>
        <w:rPr>
          <w:rFonts w:hint="eastAsia"/>
          <w:b/>
          <w:sz w:val="24"/>
        </w:rPr>
        <w:t>资质</w:t>
      </w:r>
    </w:p>
    <w:p w14:paraId="058964FF">
      <w:pPr>
        <w:numPr>
          <w:ilvl w:val="0"/>
          <w:numId w:val="10"/>
        </w:numPr>
        <w:spacing w:line="360" w:lineRule="auto"/>
        <w:ind w:left="-270" w:firstLine="480" w:firstLineChars="0"/>
        <w:outlineLvl w:val="1"/>
        <w:rPr>
          <w:sz w:val="24"/>
        </w:rPr>
      </w:pPr>
      <w:r>
        <w:rPr>
          <w:rFonts w:hint="eastAsia"/>
          <w:sz w:val="24"/>
        </w:rPr>
        <w:t>企业资质要求：</w:t>
      </w:r>
    </w:p>
    <w:p w14:paraId="02F43846">
      <w:pPr>
        <w:widowControl/>
        <w:numPr>
          <w:ilvl w:val="0"/>
          <w:numId w:val="11"/>
        </w:numPr>
        <w:ind w:firstLineChars="0"/>
        <w:rPr>
          <w:rFonts w:hint="eastAsia" w:ascii="宋体" w:hAnsi="宋体" w:eastAsia="宋体" w:cs="宋体"/>
          <w:color w:val="000000"/>
          <w:kern w:val="0"/>
          <w:sz w:val="24"/>
          <w:szCs w:val="24"/>
          <w:lang w:bidi="ar"/>
        </w:rPr>
      </w:pPr>
      <w:r>
        <w:rPr>
          <w:sz w:val="24"/>
          <w:szCs w:val="32"/>
        </w:rPr>
        <w:t>近</w:t>
      </w:r>
      <w:r>
        <w:rPr>
          <w:rFonts w:hint="eastAsia"/>
          <w:sz w:val="24"/>
          <w:szCs w:val="32"/>
        </w:rPr>
        <w:t>三</w:t>
      </w:r>
      <w:r>
        <w:rPr>
          <w:sz w:val="24"/>
          <w:szCs w:val="32"/>
        </w:rPr>
        <w:t>年内</w:t>
      </w:r>
      <w:r>
        <w:rPr>
          <w:rFonts w:hint="eastAsia"/>
          <w:sz w:val="24"/>
          <w:szCs w:val="32"/>
        </w:rPr>
        <w:t>终端</w:t>
      </w:r>
      <w:r>
        <w:rPr>
          <w:sz w:val="24"/>
          <w:szCs w:val="32"/>
        </w:rPr>
        <w:t>运维服务</w:t>
      </w:r>
      <w:r>
        <w:rPr>
          <w:rFonts w:hint="eastAsia"/>
          <w:sz w:val="24"/>
          <w:szCs w:val="32"/>
        </w:rPr>
        <w:t>经验；</w:t>
      </w:r>
    </w:p>
    <w:p w14:paraId="421FC15B">
      <w:pPr>
        <w:widowControl/>
        <w:numPr>
          <w:ilvl w:val="0"/>
          <w:numId w:val="11"/>
        </w:numPr>
        <w:ind w:firstLineChars="0"/>
        <w:rPr>
          <w:sz w:val="24"/>
          <w:szCs w:val="32"/>
        </w:rPr>
      </w:pPr>
      <w:r>
        <w:rPr>
          <w:rFonts w:hint="eastAsia"/>
          <w:sz w:val="24"/>
          <w:szCs w:val="32"/>
        </w:rPr>
        <w:t>自助终端原厂服务授权</w:t>
      </w:r>
      <w:r>
        <w:rPr>
          <w:rFonts w:hint="eastAsia"/>
          <w:sz w:val="24"/>
          <w:szCs w:val="32"/>
        </w:rPr>
        <w:t>；</w:t>
      </w:r>
    </w:p>
    <w:p w14:paraId="574988E3">
      <w:pPr>
        <w:numPr>
          <w:ilvl w:val="0"/>
          <w:numId w:val="10"/>
        </w:numPr>
        <w:spacing w:line="360" w:lineRule="auto"/>
        <w:ind w:left="-270" w:firstLine="480" w:firstLineChars="0"/>
        <w:outlineLvl w:val="1"/>
        <w:rPr>
          <w:rFonts w:hint="eastAsia" w:ascii="宋体" w:hAnsi="宋体" w:cs="宋体"/>
          <w:color w:val="000000"/>
          <w:kern w:val="0"/>
          <w:sz w:val="24"/>
          <w:szCs w:val="24"/>
          <w:lang w:bidi="ar"/>
        </w:rPr>
      </w:pPr>
      <w:r>
        <w:rPr>
          <w:rFonts w:hint="eastAsia"/>
          <w:sz w:val="24"/>
        </w:rPr>
        <w:t>人员资质要求</w:t>
      </w:r>
    </w:p>
    <w:p w14:paraId="3B155B96">
      <w:pPr>
        <w:widowControl/>
        <w:ind w:firstLine="241" w:firstLineChars="100"/>
        <w:rPr>
          <w:rFonts w:hint="eastAsia" w:ascii="宋体" w:hAnsi="宋体" w:eastAsia="宋体" w:cs="宋体"/>
          <w:kern w:val="0"/>
          <w:sz w:val="24"/>
          <w:szCs w:val="24"/>
          <w:lang w:bidi="ar"/>
        </w:rPr>
      </w:pPr>
      <w:r>
        <w:rPr>
          <w:rFonts w:hint="eastAsia" w:ascii="宋体" w:hAnsi="宋体" w:eastAsia="宋体" w:cs="宋体"/>
          <w:b/>
          <w:bCs/>
          <w:kern w:val="0"/>
          <w:sz w:val="24"/>
          <w:szCs w:val="24"/>
          <w:lang w:bidi="ar"/>
        </w:rPr>
        <w:t>项目经理</w:t>
      </w:r>
    </w:p>
    <w:p w14:paraId="3D674B48">
      <w:pPr>
        <w:widowControl/>
        <w:numPr>
          <w:ilvl w:val="0"/>
          <w:numId w:val="12"/>
        </w:numPr>
        <w:ind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具有本科及以上学历</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提供毕业证或学位证明</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w:t>
      </w:r>
    </w:p>
    <w:p w14:paraId="3EBFCF11">
      <w:pPr>
        <w:widowControl/>
        <w:numPr>
          <w:ilvl w:val="0"/>
          <w:numId w:val="12"/>
        </w:numPr>
        <w:ind w:firstLineChars="0"/>
        <w:rPr>
          <w:rFonts w:hint="eastAsia" w:ascii="宋体" w:hAnsi="宋体" w:eastAsia="宋体" w:cs="宋体"/>
          <w:kern w:val="0"/>
          <w:sz w:val="24"/>
          <w:szCs w:val="24"/>
          <w:lang w:bidi="ar"/>
        </w:rPr>
      </w:pPr>
      <w:r>
        <w:rPr>
          <w:rFonts w:hint="eastAsia" w:ascii="宋体" w:hAnsi="宋体" w:eastAsia="宋体" w:cs="宋体"/>
          <w:kern w:val="0"/>
          <w:sz w:val="24"/>
          <w:szCs w:val="24"/>
          <w:lang w:bidi="ar"/>
        </w:rPr>
        <w:t xml:space="preserve">需从事桌面运维项目、系统集成、安装调试、维护管理等相关工作三年以上，具备桌面运维项目管理经验； </w:t>
      </w:r>
    </w:p>
    <w:p w14:paraId="5F7784B5">
      <w:pPr>
        <w:widowControl/>
        <w:ind w:firstLine="0" w:firstLineChars="0"/>
        <w:rPr>
          <w:rFonts w:hint="eastAsia" w:ascii="宋体" w:hAnsi="宋体" w:eastAsia="宋体" w:cs="宋体"/>
          <w:color w:val="000000"/>
          <w:kern w:val="0"/>
          <w:sz w:val="24"/>
          <w:szCs w:val="24"/>
          <w:lang w:bidi="ar"/>
        </w:rPr>
      </w:pPr>
    </w:p>
    <w:p w14:paraId="072B032D">
      <w:pPr>
        <w:widowControl/>
        <w:ind w:left="320" w:leftChars="100" w:firstLine="0" w:firstLineChars="0"/>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运维人员</w:t>
      </w:r>
    </w:p>
    <w:p w14:paraId="18258CA6">
      <w:pPr>
        <w:widowControl/>
        <w:numPr>
          <w:ilvl w:val="0"/>
          <w:numId w:val="13"/>
        </w:numPr>
        <w:ind w:firstLineChars="0"/>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具有大专及以上学历</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val="en-US" w:eastAsia="zh-CN" w:bidi="ar"/>
        </w:rPr>
        <w:t>提供毕业证</w:t>
      </w:r>
      <w:r>
        <w:rPr>
          <w:rFonts w:hint="eastAsia" w:ascii="宋体" w:hAnsi="宋体" w:eastAsia="宋体" w:cs="宋体"/>
          <w:kern w:val="0"/>
          <w:sz w:val="24"/>
          <w:szCs w:val="24"/>
          <w:lang w:eastAsia="zh-CN" w:bidi="ar"/>
        </w:rPr>
        <w:t>）</w:t>
      </w:r>
      <w:r>
        <w:rPr>
          <w:rFonts w:hint="eastAsia" w:ascii="宋体" w:hAnsi="宋体" w:eastAsia="宋体" w:cs="宋体"/>
          <w:color w:val="000000"/>
          <w:kern w:val="0"/>
          <w:sz w:val="24"/>
          <w:szCs w:val="24"/>
          <w:lang w:bidi="ar"/>
        </w:rPr>
        <w:t>，具有相关工作三年以上工作经历；</w:t>
      </w:r>
    </w:p>
    <w:p w14:paraId="739171BA">
      <w:pPr>
        <w:pStyle w:val="2"/>
      </w:pPr>
    </w:p>
    <w:p w14:paraId="2DC4D9F8">
      <w:pPr>
        <w:widowControl/>
        <w:ind w:firstLine="480"/>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 </w:t>
      </w:r>
    </w:p>
    <w:p w14:paraId="73EABA0F">
      <w:pPr>
        <w:ind w:firstLine="360"/>
        <w:rPr>
          <w:sz w:val="18"/>
          <w:szCs w:val="18"/>
        </w:rPr>
      </w:pPr>
    </w:p>
    <w:p w14:paraId="0EF0CFC8">
      <w:pPr>
        <w:pStyle w:val="2"/>
        <w:rPr>
          <w:rFonts w:hint="eastAsia"/>
        </w:rPr>
      </w:pPr>
    </w:p>
    <w:p w14:paraId="475FE8B9">
      <w:pPr>
        <w:pStyle w:val="2"/>
      </w:pPr>
    </w:p>
    <w:p w14:paraId="456FDC78">
      <w:pPr>
        <w:pStyle w:val="2"/>
      </w:pPr>
    </w:p>
    <w:p w14:paraId="6F69CA92">
      <w:pPr>
        <w:pStyle w:val="2"/>
        <w:rPr>
          <w:rFonts w:hint="eastAsia"/>
        </w:rPr>
      </w:pPr>
    </w:p>
    <w:p w14:paraId="488D4138">
      <w:pPr>
        <w:ind w:firstLine="640"/>
        <w:rPr>
          <w:rFonts w:hint="eastAsia" w:ascii="宋体" w:hAnsi="宋体" w:cs="宋体"/>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851"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1F08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D1264">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24A08">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91F3">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30D8C">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21FD">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42787"/>
    <w:multiLevelType w:val="singleLevel"/>
    <w:tmpl w:val="A2E42787"/>
    <w:lvl w:ilvl="0" w:tentative="0">
      <w:start w:val="1"/>
      <w:numFmt w:val="decimal"/>
      <w:suff w:val="nothing"/>
      <w:lvlText w:val="%1、"/>
      <w:lvlJc w:val="left"/>
      <w:pPr>
        <w:ind w:left="-388"/>
      </w:pPr>
    </w:lvl>
  </w:abstractNum>
  <w:abstractNum w:abstractNumId="1">
    <w:nsid w:val="B1B95EA3"/>
    <w:multiLevelType w:val="multilevel"/>
    <w:tmpl w:val="B1B95EA3"/>
    <w:lvl w:ilvl="0" w:tentative="0">
      <w:start w:val="1"/>
      <w:numFmt w:val="decimal"/>
      <w:lvlText w:val="%1)"/>
      <w:lvlJc w:val="left"/>
      <w:pPr>
        <w:tabs>
          <w:tab w:val="left" w:pos="420"/>
        </w:tabs>
        <w:ind w:left="1060" w:hanging="420"/>
      </w:pPr>
    </w:lvl>
    <w:lvl w:ilvl="1" w:tentative="0">
      <w:start w:val="1"/>
      <w:numFmt w:val="lowerLetter"/>
      <w:lvlText w:val="%2)"/>
      <w:lvlJc w:val="left"/>
      <w:pPr>
        <w:tabs>
          <w:tab w:val="left" w:pos="420"/>
        </w:tabs>
        <w:ind w:left="1480" w:hanging="420"/>
      </w:pPr>
    </w:lvl>
    <w:lvl w:ilvl="2" w:tentative="0">
      <w:start w:val="1"/>
      <w:numFmt w:val="lowerRoman"/>
      <w:lvlText w:val="%3."/>
      <w:lvlJc w:val="right"/>
      <w:pPr>
        <w:tabs>
          <w:tab w:val="left" w:pos="420"/>
        </w:tabs>
        <w:ind w:left="1900" w:hanging="420"/>
      </w:pPr>
    </w:lvl>
    <w:lvl w:ilvl="3" w:tentative="0">
      <w:start w:val="1"/>
      <w:numFmt w:val="decimal"/>
      <w:lvlText w:val="%4."/>
      <w:lvlJc w:val="left"/>
      <w:pPr>
        <w:tabs>
          <w:tab w:val="left" w:pos="420"/>
        </w:tabs>
        <w:ind w:left="2320" w:hanging="420"/>
      </w:pPr>
    </w:lvl>
    <w:lvl w:ilvl="4" w:tentative="0">
      <w:start w:val="1"/>
      <w:numFmt w:val="lowerLetter"/>
      <w:lvlText w:val="%5)"/>
      <w:lvlJc w:val="left"/>
      <w:pPr>
        <w:tabs>
          <w:tab w:val="left" w:pos="420"/>
        </w:tabs>
        <w:ind w:left="2740" w:hanging="420"/>
      </w:pPr>
    </w:lvl>
    <w:lvl w:ilvl="5" w:tentative="0">
      <w:start w:val="1"/>
      <w:numFmt w:val="lowerRoman"/>
      <w:lvlText w:val="%6."/>
      <w:lvlJc w:val="right"/>
      <w:pPr>
        <w:tabs>
          <w:tab w:val="left" w:pos="420"/>
        </w:tabs>
        <w:ind w:left="3160" w:hanging="420"/>
      </w:pPr>
    </w:lvl>
    <w:lvl w:ilvl="6" w:tentative="0">
      <w:start w:val="1"/>
      <w:numFmt w:val="decimal"/>
      <w:lvlText w:val="%7."/>
      <w:lvlJc w:val="left"/>
      <w:pPr>
        <w:tabs>
          <w:tab w:val="left" w:pos="420"/>
        </w:tabs>
        <w:ind w:left="3580" w:hanging="420"/>
      </w:pPr>
    </w:lvl>
    <w:lvl w:ilvl="7" w:tentative="0">
      <w:start w:val="1"/>
      <w:numFmt w:val="lowerLetter"/>
      <w:lvlText w:val="%8)"/>
      <w:lvlJc w:val="left"/>
      <w:pPr>
        <w:tabs>
          <w:tab w:val="left" w:pos="420"/>
        </w:tabs>
        <w:ind w:left="4000" w:hanging="420"/>
      </w:pPr>
    </w:lvl>
    <w:lvl w:ilvl="8" w:tentative="0">
      <w:start w:val="1"/>
      <w:numFmt w:val="lowerRoman"/>
      <w:lvlText w:val="%9."/>
      <w:lvlJc w:val="right"/>
      <w:pPr>
        <w:tabs>
          <w:tab w:val="left" w:pos="420"/>
        </w:tabs>
        <w:ind w:left="4420" w:hanging="420"/>
      </w:pPr>
    </w:lvl>
  </w:abstractNum>
  <w:abstractNum w:abstractNumId="2">
    <w:nsid w:val="D6781288"/>
    <w:multiLevelType w:val="multilevel"/>
    <w:tmpl w:val="D6781288"/>
    <w:lvl w:ilvl="0" w:tentative="0">
      <w:start w:val="1"/>
      <w:numFmt w:val="decimal"/>
      <w:lvlText w:val="%1)"/>
      <w:lvlJc w:val="left"/>
      <w:pPr>
        <w:tabs>
          <w:tab w:val="left" w:pos="420"/>
        </w:tabs>
        <w:ind w:left="1060" w:hanging="420"/>
      </w:pPr>
    </w:lvl>
    <w:lvl w:ilvl="1" w:tentative="0">
      <w:start w:val="1"/>
      <w:numFmt w:val="lowerLetter"/>
      <w:lvlText w:val="%2)"/>
      <w:lvlJc w:val="left"/>
      <w:pPr>
        <w:tabs>
          <w:tab w:val="left" w:pos="420"/>
        </w:tabs>
        <w:ind w:left="1480" w:hanging="420"/>
      </w:pPr>
    </w:lvl>
    <w:lvl w:ilvl="2" w:tentative="0">
      <w:start w:val="1"/>
      <w:numFmt w:val="lowerRoman"/>
      <w:lvlText w:val="%3."/>
      <w:lvlJc w:val="right"/>
      <w:pPr>
        <w:tabs>
          <w:tab w:val="left" w:pos="420"/>
        </w:tabs>
        <w:ind w:left="1900" w:hanging="420"/>
      </w:pPr>
    </w:lvl>
    <w:lvl w:ilvl="3" w:tentative="0">
      <w:start w:val="1"/>
      <w:numFmt w:val="decimal"/>
      <w:lvlText w:val="%4."/>
      <w:lvlJc w:val="left"/>
      <w:pPr>
        <w:tabs>
          <w:tab w:val="left" w:pos="420"/>
        </w:tabs>
        <w:ind w:left="2320" w:hanging="420"/>
      </w:pPr>
    </w:lvl>
    <w:lvl w:ilvl="4" w:tentative="0">
      <w:start w:val="1"/>
      <w:numFmt w:val="lowerLetter"/>
      <w:lvlText w:val="%5)"/>
      <w:lvlJc w:val="left"/>
      <w:pPr>
        <w:tabs>
          <w:tab w:val="left" w:pos="420"/>
        </w:tabs>
        <w:ind w:left="2740" w:hanging="420"/>
      </w:pPr>
    </w:lvl>
    <w:lvl w:ilvl="5" w:tentative="0">
      <w:start w:val="1"/>
      <w:numFmt w:val="lowerRoman"/>
      <w:lvlText w:val="%6."/>
      <w:lvlJc w:val="right"/>
      <w:pPr>
        <w:tabs>
          <w:tab w:val="left" w:pos="420"/>
        </w:tabs>
        <w:ind w:left="3160" w:hanging="420"/>
      </w:pPr>
    </w:lvl>
    <w:lvl w:ilvl="6" w:tentative="0">
      <w:start w:val="1"/>
      <w:numFmt w:val="decimal"/>
      <w:lvlText w:val="%7."/>
      <w:lvlJc w:val="left"/>
      <w:pPr>
        <w:tabs>
          <w:tab w:val="left" w:pos="420"/>
        </w:tabs>
        <w:ind w:left="3580" w:hanging="420"/>
      </w:pPr>
    </w:lvl>
    <w:lvl w:ilvl="7" w:tentative="0">
      <w:start w:val="1"/>
      <w:numFmt w:val="lowerLetter"/>
      <w:lvlText w:val="%8)"/>
      <w:lvlJc w:val="left"/>
      <w:pPr>
        <w:tabs>
          <w:tab w:val="left" w:pos="420"/>
        </w:tabs>
        <w:ind w:left="4000" w:hanging="420"/>
      </w:pPr>
    </w:lvl>
    <w:lvl w:ilvl="8" w:tentative="0">
      <w:start w:val="1"/>
      <w:numFmt w:val="lowerRoman"/>
      <w:lvlText w:val="%9."/>
      <w:lvlJc w:val="right"/>
      <w:pPr>
        <w:tabs>
          <w:tab w:val="left" w:pos="420"/>
        </w:tabs>
        <w:ind w:left="4420" w:hanging="420"/>
      </w:pPr>
    </w:lvl>
  </w:abstractNum>
  <w:abstractNum w:abstractNumId="3">
    <w:nsid w:val="04976586"/>
    <w:multiLevelType w:val="singleLevel"/>
    <w:tmpl w:val="04976586"/>
    <w:lvl w:ilvl="0" w:tentative="0">
      <w:start w:val="1"/>
      <w:numFmt w:val="decimal"/>
      <w:suff w:val="nothing"/>
      <w:lvlText w:val="%1）"/>
      <w:lvlJc w:val="left"/>
      <w:pPr>
        <w:ind w:left="-724"/>
      </w:pPr>
    </w:lvl>
  </w:abstractNum>
  <w:abstractNum w:abstractNumId="4">
    <w:nsid w:val="0BAC7685"/>
    <w:multiLevelType w:val="singleLevel"/>
    <w:tmpl w:val="0BAC7685"/>
    <w:lvl w:ilvl="0" w:tentative="0">
      <w:start w:val="1"/>
      <w:numFmt w:val="decimal"/>
      <w:suff w:val="nothing"/>
      <w:lvlText w:val="%1）"/>
      <w:lvlJc w:val="left"/>
      <w:pPr>
        <w:ind w:left="-724"/>
      </w:pPr>
    </w:lvl>
  </w:abstractNum>
  <w:abstractNum w:abstractNumId="5">
    <w:nsid w:val="1E1123BA"/>
    <w:multiLevelType w:val="multilevel"/>
    <w:tmpl w:val="1E1123B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5623185"/>
    <w:multiLevelType w:val="multilevel"/>
    <w:tmpl w:val="35623185"/>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383DD037"/>
    <w:multiLevelType w:val="multilevel"/>
    <w:tmpl w:val="383DD037"/>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8">
    <w:nsid w:val="4280796D"/>
    <w:multiLevelType w:val="singleLevel"/>
    <w:tmpl w:val="4280796D"/>
    <w:lvl w:ilvl="0" w:tentative="0">
      <w:start w:val="1"/>
      <w:numFmt w:val="decimal"/>
      <w:suff w:val="nothing"/>
      <w:lvlText w:val="%1）"/>
      <w:lvlJc w:val="left"/>
      <w:pPr>
        <w:ind w:left="-724"/>
      </w:pPr>
    </w:lvl>
  </w:abstractNum>
  <w:abstractNum w:abstractNumId="9">
    <w:nsid w:val="513C34D0"/>
    <w:multiLevelType w:val="multilevel"/>
    <w:tmpl w:val="513C34D0"/>
    <w:lvl w:ilvl="0" w:tentative="0">
      <w:start w:val="1"/>
      <w:numFmt w:val="decimal"/>
      <w:lvlText w:val="%1."/>
      <w:lvlJc w:val="left"/>
      <w:pPr>
        <w:ind w:left="830" w:hanging="510"/>
      </w:pPr>
      <w:rPr>
        <w:rFonts w:hint="default"/>
      </w:rPr>
    </w:lvl>
    <w:lvl w:ilvl="1" w:tentative="0">
      <w:start w:val="1"/>
      <w:numFmt w:val="decimal"/>
      <w:lvlText w:val="%2、"/>
      <w:lvlJc w:val="left"/>
      <w:pPr>
        <w:ind w:left="1100" w:hanging="360"/>
      </w:pPr>
      <w:rPr>
        <w:rFonts w:hint="default"/>
      </w:rPr>
    </w:lvl>
    <w:lvl w:ilvl="2" w:tentative="0">
      <w:start w:val="1"/>
      <w:numFmt w:val="lowerRoman"/>
      <w:lvlText w:val="%3."/>
      <w:lvlJc w:val="right"/>
      <w:pPr>
        <w:ind w:left="1580" w:hanging="420"/>
      </w:pPr>
    </w:lvl>
    <w:lvl w:ilvl="3" w:tentative="0">
      <w:start w:val="1"/>
      <w:numFmt w:val="decimal"/>
      <w:lvlText w:val="%4."/>
      <w:lvlJc w:val="left"/>
      <w:pPr>
        <w:ind w:left="2000" w:hanging="420"/>
      </w:pPr>
    </w:lvl>
    <w:lvl w:ilvl="4" w:tentative="0">
      <w:start w:val="1"/>
      <w:numFmt w:val="lowerLetter"/>
      <w:lvlText w:val="%5)"/>
      <w:lvlJc w:val="left"/>
      <w:pPr>
        <w:ind w:left="2420" w:hanging="420"/>
      </w:pPr>
    </w:lvl>
    <w:lvl w:ilvl="5" w:tentative="0">
      <w:start w:val="1"/>
      <w:numFmt w:val="lowerRoman"/>
      <w:lvlText w:val="%6."/>
      <w:lvlJc w:val="right"/>
      <w:pPr>
        <w:ind w:left="2840" w:hanging="420"/>
      </w:pPr>
    </w:lvl>
    <w:lvl w:ilvl="6" w:tentative="0">
      <w:start w:val="1"/>
      <w:numFmt w:val="decimal"/>
      <w:lvlText w:val="%7."/>
      <w:lvlJc w:val="left"/>
      <w:pPr>
        <w:ind w:left="3260" w:hanging="420"/>
      </w:pPr>
    </w:lvl>
    <w:lvl w:ilvl="7" w:tentative="0">
      <w:start w:val="1"/>
      <w:numFmt w:val="lowerLetter"/>
      <w:lvlText w:val="%8)"/>
      <w:lvlJc w:val="left"/>
      <w:pPr>
        <w:ind w:left="3680" w:hanging="420"/>
      </w:pPr>
    </w:lvl>
    <w:lvl w:ilvl="8" w:tentative="0">
      <w:start w:val="1"/>
      <w:numFmt w:val="lowerRoman"/>
      <w:lvlText w:val="%9."/>
      <w:lvlJc w:val="right"/>
      <w:pPr>
        <w:ind w:left="4100" w:hanging="420"/>
      </w:pPr>
    </w:lvl>
  </w:abstractNum>
  <w:abstractNum w:abstractNumId="10">
    <w:nsid w:val="5830C7B1"/>
    <w:multiLevelType w:val="multilevel"/>
    <w:tmpl w:val="5830C7B1"/>
    <w:lvl w:ilvl="0" w:tentative="0">
      <w:start w:val="1"/>
      <w:numFmt w:val="decimal"/>
      <w:lvlText w:val="%1)"/>
      <w:lvlJc w:val="left"/>
      <w:pPr>
        <w:tabs>
          <w:tab w:val="left" w:pos="420"/>
        </w:tabs>
        <w:ind w:left="1060" w:hanging="420"/>
      </w:pPr>
    </w:lvl>
    <w:lvl w:ilvl="1" w:tentative="0">
      <w:start w:val="1"/>
      <w:numFmt w:val="lowerLetter"/>
      <w:lvlText w:val="%2)"/>
      <w:lvlJc w:val="left"/>
      <w:pPr>
        <w:tabs>
          <w:tab w:val="left" w:pos="420"/>
        </w:tabs>
        <w:ind w:left="1480" w:hanging="420"/>
      </w:pPr>
    </w:lvl>
    <w:lvl w:ilvl="2" w:tentative="0">
      <w:start w:val="1"/>
      <w:numFmt w:val="lowerRoman"/>
      <w:lvlText w:val="%3."/>
      <w:lvlJc w:val="right"/>
      <w:pPr>
        <w:tabs>
          <w:tab w:val="left" w:pos="420"/>
        </w:tabs>
        <w:ind w:left="1900" w:hanging="420"/>
      </w:pPr>
    </w:lvl>
    <w:lvl w:ilvl="3" w:tentative="0">
      <w:start w:val="1"/>
      <w:numFmt w:val="decimal"/>
      <w:lvlText w:val="%4."/>
      <w:lvlJc w:val="left"/>
      <w:pPr>
        <w:tabs>
          <w:tab w:val="left" w:pos="420"/>
        </w:tabs>
        <w:ind w:left="2320" w:hanging="420"/>
      </w:pPr>
    </w:lvl>
    <w:lvl w:ilvl="4" w:tentative="0">
      <w:start w:val="1"/>
      <w:numFmt w:val="lowerLetter"/>
      <w:lvlText w:val="%5)"/>
      <w:lvlJc w:val="left"/>
      <w:pPr>
        <w:tabs>
          <w:tab w:val="left" w:pos="420"/>
        </w:tabs>
        <w:ind w:left="2740" w:hanging="420"/>
      </w:pPr>
    </w:lvl>
    <w:lvl w:ilvl="5" w:tentative="0">
      <w:start w:val="1"/>
      <w:numFmt w:val="lowerRoman"/>
      <w:lvlText w:val="%6."/>
      <w:lvlJc w:val="right"/>
      <w:pPr>
        <w:tabs>
          <w:tab w:val="left" w:pos="420"/>
        </w:tabs>
        <w:ind w:left="3160" w:hanging="420"/>
      </w:pPr>
    </w:lvl>
    <w:lvl w:ilvl="6" w:tentative="0">
      <w:start w:val="1"/>
      <w:numFmt w:val="decimal"/>
      <w:lvlText w:val="%7."/>
      <w:lvlJc w:val="left"/>
      <w:pPr>
        <w:tabs>
          <w:tab w:val="left" w:pos="420"/>
        </w:tabs>
        <w:ind w:left="3580" w:hanging="420"/>
      </w:pPr>
    </w:lvl>
    <w:lvl w:ilvl="7" w:tentative="0">
      <w:start w:val="1"/>
      <w:numFmt w:val="lowerLetter"/>
      <w:lvlText w:val="%8)"/>
      <w:lvlJc w:val="left"/>
      <w:pPr>
        <w:tabs>
          <w:tab w:val="left" w:pos="420"/>
        </w:tabs>
        <w:ind w:left="4000" w:hanging="420"/>
      </w:pPr>
    </w:lvl>
    <w:lvl w:ilvl="8" w:tentative="0">
      <w:start w:val="1"/>
      <w:numFmt w:val="lowerRoman"/>
      <w:lvlText w:val="%9."/>
      <w:lvlJc w:val="right"/>
      <w:pPr>
        <w:tabs>
          <w:tab w:val="left" w:pos="420"/>
        </w:tabs>
        <w:ind w:left="4420" w:hanging="420"/>
      </w:pPr>
    </w:lvl>
  </w:abstractNum>
  <w:abstractNum w:abstractNumId="11">
    <w:nsid w:val="5EAB7E14"/>
    <w:multiLevelType w:val="multilevel"/>
    <w:tmpl w:val="5EAB7E14"/>
    <w:lvl w:ilvl="0" w:tentative="0">
      <w:start w:val="1"/>
      <w:numFmt w:val="decimal"/>
      <w:lvlText w:val="%1)"/>
      <w:lvlJc w:val="left"/>
      <w:pPr>
        <w:tabs>
          <w:tab w:val="left" w:pos="420"/>
        </w:tabs>
        <w:ind w:left="1060" w:hanging="420"/>
      </w:pPr>
    </w:lvl>
    <w:lvl w:ilvl="1" w:tentative="0">
      <w:start w:val="1"/>
      <w:numFmt w:val="lowerLetter"/>
      <w:lvlText w:val="%2)"/>
      <w:lvlJc w:val="left"/>
      <w:pPr>
        <w:tabs>
          <w:tab w:val="left" w:pos="420"/>
        </w:tabs>
        <w:ind w:left="1480" w:hanging="420"/>
      </w:pPr>
    </w:lvl>
    <w:lvl w:ilvl="2" w:tentative="0">
      <w:start w:val="1"/>
      <w:numFmt w:val="lowerRoman"/>
      <w:lvlText w:val="%3."/>
      <w:lvlJc w:val="right"/>
      <w:pPr>
        <w:tabs>
          <w:tab w:val="left" w:pos="420"/>
        </w:tabs>
        <w:ind w:left="1900" w:hanging="420"/>
      </w:pPr>
    </w:lvl>
    <w:lvl w:ilvl="3" w:tentative="0">
      <w:start w:val="1"/>
      <w:numFmt w:val="decimal"/>
      <w:lvlText w:val="%4."/>
      <w:lvlJc w:val="left"/>
      <w:pPr>
        <w:tabs>
          <w:tab w:val="left" w:pos="420"/>
        </w:tabs>
        <w:ind w:left="2320" w:hanging="420"/>
      </w:pPr>
    </w:lvl>
    <w:lvl w:ilvl="4" w:tentative="0">
      <w:start w:val="1"/>
      <w:numFmt w:val="lowerLetter"/>
      <w:lvlText w:val="%5)"/>
      <w:lvlJc w:val="left"/>
      <w:pPr>
        <w:tabs>
          <w:tab w:val="left" w:pos="420"/>
        </w:tabs>
        <w:ind w:left="2740" w:hanging="420"/>
      </w:pPr>
    </w:lvl>
    <w:lvl w:ilvl="5" w:tentative="0">
      <w:start w:val="1"/>
      <w:numFmt w:val="lowerRoman"/>
      <w:lvlText w:val="%6."/>
      <w:lvlJc w:val="right"/>
      <w:pPr>
        <w:tabs>
          <w:tab w:val="left" w:pos="420"/>
        </w:tabs>
        <w:ind w:left="3160" w:hanging="420"/>
      </w:pPr>
    </w:lvl>
    <w:lvl w:ilvl="6" w:tentative="0">
      <w:start w:val="1"/>
      <w:numFmt w:val="decimal"/>
      <w:lvlText w:val="%7."/>
      <w:lvlJc w:val="left"/>
      <w:pPr>
        <w:tabs>
          <w:tab w:val="left" w:pos="420"/>
        </w:tabs>
        <w:ind w:left="3580" w:hanging="420"/>
      </w:pPr>
    </w:lvl>
    <w:lvl w:ilvl="7" w:tentative="0">
      <w:start w:val="1"/>
      <w:numFmt w:val="lowerLetter"/>
      <w:lvlText w:val="%8)"/>
      <w:lvlJc w:val="left"/>
      <w:pPr>
        <w:tabs>
          <w:tab w:val="left" w:pos="420"/>
        </w:tabs>
        <w:ind w:left="4000" w:hanging="420"/>
      </w:pPr>
    </w:lvl>
    <w:lvl w:ilvl="8" w:tentative="0">
      <w:start w:val="1"/>
      <w:numFmt w:val="lowerRoman"/>
      <w:lvlText w:val="%9."/>
      <w:lvlJc w:val="right"/>
      <w:pPr>
        <w:tabs>
          <w:tab w:val="left" w:pos="420"/>
        </w:tabs>
        <w:ind w:left="4420" w:hanging="420"/>
      </w:pPr>
    </w:lvl>
  </w:abstractNum>
  <w:abstractNum w:abstractNumId="12">
    <w:nsid w:val="5FFE9435"/>
    <w:multiLevelType w:val="singleLevel"/>
    <w:tmpl w:val="5FFE9435"/>
    <w:lvl w:ilvl="0" w:tentative="0">
      <w:start w:val="1"/>
      <w:numFmt w:val="decimal"/>
      <w:suff w:val="nothing"/>
      <w:lvlText w:val="%1、"/>
      <w:lvlJc w:val="left"/>
    </w:lvl>
  </w:abstractNum>
  <w:num w:numId="1">
    <w:abstractNumId w:val="5"/>
  </w:num>
  <w:num w:numId="2">
    <w:abstractNumId w:val="12"/>
  </w:num>
  <w:num w:numId="3">
    <w:abstractNumId w:val="9"/>
  </w:num>
  <w:num w:numId="4">
    <w:abstractNumId w:val="11"/>
  </w:num>
  <w:num w:numId="5">
    <w:abstractNumId w:val="6"/>
  </w:num>
  <w:num w:numId="6">
    <w:abstractNumId w:val="10"/>
  </w:num>
  <w:num w:numId="7">
    <w:abstractNumId w:val="1"/>
  </w:num>
  <w:num w:numId="8">
    <w:abstractNumId w:val="2"/>
  </w:num>
  <w:num w:numId="9">
    <w:abstractNumId w:val="7"/>
  </w:num>
  <w:num w:numId="10">
    <w:abstractNumId w:val="0"/>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OWE2NjQ1M2UxMjE2YWE4ZTVmNTllNDE5ZDQ2ODkifQ=="/>
  </w:docVars>
  <w:rsids>
    <w:rsidRoot w:val="670E30D2"/>
    <w:rsid w:val="00081C13"/>
    <w:rsid w:val="00200FDF"/>
    <w:rsid w:val="00287CE8"/>
    <w:rsid w:val="002B59DF"/>
    <w:rsid w:val="003116AF"/>
    <w:rsid w:val="00360D8B"/>
    <w:rsid w:val="003B468F"/>
    <w:rsid w:val="004B7D5D"/>
    <w:rsid w:val="00505946"/>
    <w:rsid w:val="007F5B86"/>
    <w:rsid w:val="00864212"/>
    <w:rsid w:val="008E19FD"/>
    <w:rsid w:val="00960B83"/>
    <w:rsid w:val="00AD58C5"/>
    <w:rsid w:val="00BB02D2"/>
    <w:rsid w:val="00EE24A8"/>
    <w:rsid w:val="00F070E4"/>
    <w:rsid w:val="00FF0D00"/>
    <w:rsid w:val="013B19ED"/>
    <w:rsid w:val="03BC74A2"/>
    <w:rsid w:val="03FA6D38"/>
    <w:rsid w:val="0AB44861"/>
    <w:rsid w:val="0AE70F49"/>
    <w:rsid w:val="0B6D57F3"/>
    <w:rsid w:val="0BA4423F"/>
    <w:rsid w:val="0FC30926"/>
    <w:rsid w:val="0FE877D0"/>
    <w:rsid w:val="11C44CC6"/>
    <w:rsid w:val="157831EF"/>
    <w:rsid w:val="15E15E63"/>
    <w:rsid w:val="17E607F5"/>
    <w:rsid w:val="19487012"/>
    <w:rsid w:val="1CAB40FB"/>
    <w:rsid w:val="1D284523"/>
    <w:rsid w:val="1FAF646C"/>
    <w:rsid w:val="1FF561AE"/>
    <w:rsid w:val="21004E0A"/>
    <w:rsid w:val="21FA58BD"/>
    <w:rsid w:val="22121B5E"/>
    <w:rsid w:val="2297354C"/>
    <w:rsid w:val="22EA7B20"/>
    <w:rsid w:val="23855006"/>
    <w:rsid w:val="244403B4"/>
    <w:rsid w:val="288F0AE8"/>
    <w:rsid w:val="28D41056"/>
    <w:rsid w:val="2B4D0B75"/>
    <w:rsid w:val="2D9D235F"/>
    <w:rsid w:val="2DB92430"/>
    <w:rsid w:val="303605EA"/>
    <w:rsid w:val="32052280"/>
    <w:rsid w:val="321D3A6E"/>
    <w:rsid w:val="32980E11"/>
    <w:rsid w:val="32C563D2"/>
    <w:rsid w:val="34423DFA"/>
    <w:rsid w:val="35DD4FE6"/>
    <w:rsid w:val="39903713"/>
    <w:rsid w:val="3A9066B3"/>
    <w:rsid w:val="3A983BCB"/>
    <w:rsid w:val="3B627275"/>
    <w:rsid w:val="3B930A10"/>
    <w:rsid w:val="3B940607"/>
    <w:rsid w:val="3D1A3177"/>
    <w:rsid w:val="3E1716DC"/>
    <w:rsid w:val="3E2024A5"/>
    <w:rsid w:val="3E2E2B5F"/>
    <w:rsid w:val="3EAF0A52"/>
    <w:rsid w:val="40C53C3D"/>
    <w:rsid w:val="4135397F"/>
    <w:rsid w:val="42B82C36"/>
    <w:rsid w:val="44705C7F"/>
    <w:rsid w:val="469320F9"/>
    <w:rsid w:val="48C90DA0"/>
    <w:rsid w:val="48CA3C4F"/>
    <w:rsid w:val="4B7D75AC"/>
    <w:rsid w:val="4E7707D7"/>
    <w:rsid w:val="4EE63DCC"/>
    <w:rsid w:val="527F1783"/>
    <w:rsid w:val="563B42C8"/>
    <w:rsid w:val="56E94AA0"/>
    <w:rsid w:val="580C7FF6"/>
    <w:rsid w:val="58E660B8"/>
    <w:rsid w:val="5AE628D3"/>
    <w:rsid w:val="5B127629"/>
    <w:rsid w:val="5EC6143A"/>
    <w:rsid w:val="6022031E"/>
    <w:rsid w:val="60622029"/>
    <w:rsid w:val="62946683"/>
    <w:rsid w:val="629A2548"/>
    <w:rsid w:val="62D022B3"/>
    <w:rsid w:val="636467D9"/>
    <w:rsid w:val="63782623"/>
    <w:rsid w:val="641E704E"/>
    <w:rsid w:val="650414C0"/>
    <w:rsid w:val="65953340"/>
    <w:rsid w:val="66521591"/>
    <w:rsid w:val="670E30D2"/>
    <w:rsid w:val="67BC1FF4"/>
    <w:rsid w:val="68B4626E"/>
    <w:rsid w:val="6AA9520C"/>
    <w:rsid w:val="6B9A0059"/>
    <w:rsid w:val="6FC52A74"/>
    <w:rsid w:val="6FF670D1"/>
    <w:rsid w:val="6FF905C7"/>
    <w:rsid w:val="73BF3510"/>
    <w:rsid w:val="7725204A"/>
    <w:rsid w:val="77260604"/>
    <w:rsid w:val="777C610E"/>
    <w:rsid w:val="77B969BE"/>
    <w:rsid w:val="78D36201"/>
    <w:rsid w:val="7A0A5E7A"/>
    <w:rsid w:val="7D7216F5"/>
    <w:rsid w:val="7DD37E05"/>
    <w:rsid w:val="7EF545BA"/>
    <w:rsid w:val="7F3E639F"/>
    <w:rsid w:val="7FE042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1044" w:firstLineChars="200"/>
    </w:pPr>
    <w:rPr>
      <w:rFonts w:asciiTheme="minorHAnsi" w:hAnsiTheme="minorHAnsi" w:eastAsiaTheme="minorEastAsia" w:cstheme="minorBidi"/>
      <w:kern w:val="2"/>
      <w:sz w:val="32"/>
      <w:szCs w:val="22"/>
      <w:lang w:val="en-US" w:eastAsia="zh-CN" w:bidi="ar-SA"/>
    </w:rPr>
  </w:style>
  <w:style w:type="paragraph" w:styleId="4">
    <w:name w:val="heading 3"/>
    <w:basedOn w:val="1"/>
    <w:next w:val="1"/>
    <w:autoRedefine/>
    <w:semiHidden/>
    <w:unhideWhenUsed/>
    <w:qFormat/>
    <w:uiPriority w:val="0"/>
    <w:pPr>
      <w:keepNext/>
      <w:keepLines/>
      <w:spacing w:line="413" w:lineRule="auto"/>
      <w:outlineLvl w:val="2"/>
    </w:pPr>
    <w:rPr>
      <w:rFonts w:eastAsia="黑体"/>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spacing w:after="120" w:line="480" w:lineRule="exact"/>
      <w:ind w:firstLine="0" w:firstLineChars="0"/>
      <w:jc w:val="center"/>
    </w:pPr>
    <w:rPr>
      <w:szCs w:val="20"/>
    </w:rPr>
  </w:style>
  <w:style w:type="paragraph" w:styleId="3">
    <w:name w:val="Body Text Indent"/>
    <w:basedOn w:val="1"/>
    <w:autoRedefine/>
    <w:qFormat/>
    <w:uiPriority w:val="0"/>
    <w:pPr>
      <w:spacing w:line="360" w:lineRule="auto"/>
      <w:ind w:firstLine="570"/>
    </w:pPr>
    <w:rPr>
      <w:sz w:val="24"/>
    </w:rPr>
  </w:style>
  <w:style w:type="paragraph" w:styleId="5">
    <w:name w:val="footer"/>
    <w:basedOn w:val="1"/>
    <w:link w:val="12"/>
    <w:autoRedefine/>
    <w:unhideWhenUsed/>
    <w:qFormat/>
    <w:uiPriority w:val="0"/>
    <w:pPr>
      <w:tabs>
        <w:tab w:val="center" w:pos="4153"/>
        <w:tab w:val="right" w:pos="8306"/>
      </w:tabs>
      <w:snapToGrid w:val="0"/>
    </w:pPr>
    <w:rPr>
      <w:sz w:val="18"/>
      <w:szCs w:val="18"/>
    </w:rPr>
  </w:style>
  <w:style w:type="paragraph" w:styleId="6">
    <w:name w:val="header"/>
    <w:basedOn w:val="1"/>
    <w:link w:val="11"/>
    <w:autoRedefine/>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落款"/>
    <w:basedOn w:val="1"/>
    <w:autoRedefine/>
    <w:qFormat/>
    <w:uiPriority w:val="0"/>
    <w:pPr>
      <w:ind w:left="600" w:leftChars="600" w:firstLine="883"/>
      <w:jc w:val="center"/>
    </w:pPr>
    <w:rPr>
      <w:szCs w:val="24"/>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styleId="13">
    <w:name w:val="List Paragraph"/>
    <w:basedOn w:val="1"/>
    <w:autoRedefine/>
    <w:qFormat/>
    <w:uiPriority w:val="34"/>
    <w:pPr>
      <w:ind w:firstLine="420"/>
      <w:jc w:val="both"/>
    </w:pPr>
    <w:rPr>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3416</Words>
  <Characters>3516</Characters>
  <Lines>167</Lines>
  <Paragraphs>214</Paragraphs>
  <TotalTime>19</TotalTime>
  <ScaleCrop>false</ScaleCrop>
  <LinksUpToDate>false</LinksUpToDate>
  <CharactersWithSpaces>3579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2020-09-30T07:22:00Z</dcterms:created>
  <dc:creator>张琼汉</dc:creator>
  <cp:lastModifiedBy>LI</cp:lastModifiedBy>
  <cp:lastPrinted>2025-04-21T03:28:00Z</cp:lastPrinted>
  <dcterms:modified xsi:type="dcterms:W3CDTF">2025-04-24T10:35:01Z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C0C7FC4791AC4FE4B3A761A6B464C7CA_13</vt:lpwstr>
  </property>
  <property fmtid="{D5CDD505-2E9C-101B-9397-08002B2CF9AE}" pid="4" name="KSOTemplateDocerSaveRecord">
    <vt:lpwstr>eyJoZGlkIjoiODFhYTk4YWNjMjBiODk2ZThiZjJkMTVlMDgzYmMzMzMiLCJ1c2VySWQiOiI2NTQ2ODYyNDUifQ==</vt:lpwstr>
  </property>
</Properties>
</file>