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51967">
      <w:pPr>
        <w:ind w:firstLine="360"/>
        <w:rPr>
          <w:sz w:val="18"/>
          <w:szCs w:val="18"/>
        </w:rPr>
      </w:pPr>
    </w:p>
    <w:p w14:paraId="213C3606">
      <w:pPr>
        <w:ind w:firstLine="0" w:firstLineChars="0"/>
        <w:rPr>
          <w:sz w:val="18"/>
          <w:szCs w:val="18"/>
        </w:rPr>
      </w:pPr>
      <w:r>
        <w:rPr>
          <w:rFonts w:hint="eastAsia"/>
          <w:sz w:val="18"/>
          <w:szCs w:val="18"/>
        </w:rPr>
        <w:t>附件：</w:t>
      </w:r>
    </w:p>
    <w:p w14:paraId="1DF14119">
      <w:pPr>
        <w:ind w:firstLine="562"/>
        <w:jc w:val="center"/>
        <w:rPr>
          <w:rFonts w:ascii="宋体" w:hAnsi="宋体" w:cs="宋体"/>
          <w:b/>
          <w:bCs/>
          <w:sz w:val="28"/>
          <w:szCs w:val="28"/>
        </w:rPr>
      </w:pPr>
      <w:bookmarkStart w:id="0" w:name="_Toc5305567"/>
      <w:bookmarkStart w:id="1" w:name="_Toc17388"/>
      <w:bookmarkStart w:id="2" w:name="_Toc22879"/>
      <w:r>
        <w:rPr>
          <w:rFonts w:hint="eastAsia" w:ascii="宋体" w:hAnsi="宋体" w:cs="宋体"/>
          <w:b/>
          <w:bCs/>
          <w:sz w:val="28"/>
          <w:szCs w:val="28"/>
        </w:rPr>
        <w:t>中国医学科学院肿瘤医院廊坊院区</w:t>
      </w:r>
    </w:p>
    <w:p w14:paraId="4B5B2968">
      <w:pPr>
        <w:ind w:firstLine="562"/>
        <w:jc w:val="center"/>
        <w:rPr>
          <w:rFonts w:ascii="宋体" w:hAnsi="宋体" w:cs="宋体"/>
          <w:b/>
          <w:bCs/>
          <w:sz w:val="28"/>
          <w:szCs w:val="28"/>
        </w:rPr>
      </w:pPr>
      <w:r>
        <w:rPr>
          <w:rFonts w:hint="eastAsia" w:ascii="宋体" w:hAnsi="宋体" w:cs="宋体"/>
          <w:b/>
          <w:bCs/>
          <w:sz w:val="28"/>
          <w:szCs w:val="28"/>
        </w:rPr>
        <w:t>安全驻场运维服务技术需求</w:t>
      </w:r>
      <w:bookmarkEnd w:id="0"/>
      <w:bookmarkEnd w:id="1"/>
      <w:bookmarkEnd w:id="2"/>
      <w:bookmarkStart w:id="3" w:name="_Hlt42540685"/>
      <w:bookmarkEnd w:id="3"/>
      <w:bookmarkStart w:id="4" w:name="_Hlt42618675"/>
      <w:bookmarkEnd w:id="4"/>
      <w:bookmarkStart w:id="5" w:name="_Hlt42539152"/>
      <w:bookmarkEnd w:id="5"/>
    </w:p>
    <w:p w14:paraId="03506602">
      <w:pPr>
        <w:pStyle w:val="2"/>
        <w:spacing w:before="0" w:after="0" w:line="360" w:lineRule="auto"/>
        <w:ind w:firstLine="482"/>
        <w:rPr>
          <w:rFonts w:ascii="宋体" w:hAnsi="宋体" w:cs="宋体"/>
          <w:color w:val="000000"/>
          <w:kern w:val="2"/>
          <w:sz w:val="24"/>
          <w:szCs w:val="24"/>
        </w:rPr>
      </w:pPr>
      <w:bookmarkStart w:id="6" w:name="_Toc446571463"/>
      <w:r>
        <w:rPr>
          <w:rFonts w:hint="eastAsia" w:ascii="宋体" w:hAnsi="宋体" w:cs="宋体"/>
          <w:color w:val="000000"/>
          <w:kern w:val="2"/>
          <w:sz w:val="24"/>
          <w:szCs w:val="24"/>
        </w:rPr>
        <w:t>1. 项目背景</w:t>
      </w:r>
      <w:bookmarkEnd w:id="6"/>
    </w:p>
    <w:p w14:paraId="3E660B6E">
      <w:pPr>
        <w:ind w:firstLine="480"/>
        <w:rPr>
          <w:rFonts w:ascii="宋体" w:hAnsi="宋体" w:cs="宋体"/>
          <w:sz w:val="24"/>
          <w:szCs w:val="24"/>
        </w:rPr>
      </w:pPr>
      <w:r>
        <w:rPr>
          <w:rFonts w:hint="eastAsia" w:ascii="宋体" w:hAnsi="宋体" w:cs="宋体"/>
          <w:sz w:val="24"/>
          <w:szCs w:val="24"/>
        </w:rPr>
        <w:t>中国医学科学院肿瘤医院廊坊院区承担重要信息系统的安全保障责任，履行安全保障义务。随着国家对网络安全要求力度的加大，结合国家关键信息基础设施保护以及“网络安全等级保护2.0”的新要求以及信息系统运行情况，中国医学科学院肿瘤医院廊坊院区计划采购安全运维驻场服务项目，加大保障力度，切实维护相关关键基础资源的安全、稳定和高效运行。</w:t>
      </w:r>
    </w:p>
    <w:p w14:paraId="6BD15759">
      <w:pPr>
        <w:pStyle w:val="2"/>
        <w:spacing w:before="0" w:after="0" w:line="360" w:lineRule="auto"/>
        <w:ind w:firstLine="482"/>
        <w:rPr>
          <w:rFonts w:ascii="宋体" w:hAnsi="宋体" w:cs="宋体"/>
          <w:color w:val="000000"/>
          <w:kern w:val="2"/>
          <w:sz w:val="24"/>
          <w:szCs w:val="24"/>
        </w:rPr>
      </w:pPr>
      <w:r>
        <w:rPr>
          <w:rFonts w:ascii="宋体" w:hAnsi="宋体" w:cs="宋体"/>
          <w:color w:val="000000"/>
          <w:kern w:val="2"/>
          <w:sz w:val="24"/>
          <w:szCs w:val="24"/>
        </w:rPr>
        <w:t>2</w:t>
      </w:r>
      <w:r>
        <w:rPr>
          <w:rFonts w:hint="eastAsia" w:ascii="宋体" w:hAnsi="宋体" w:cs="宋体"/>
          <w:color w:val="000000"/>
          <w:kern w:val="2"/>
          <w:sz w:val="24"/>
          <w:szCs w:val="24"/>
        </w:rPr>
        <w:t>.项目服务原则</w:t>
      </w:r>
    </w:p>
    <w:p w14:paraId="5910E0C0">
      <w:pPr>
        <w:ind w:firstLine="482"/>
        <w:rPr>
          <w:rFonts w:ascii="宋体" w:hAnsi="宋体" w:cs="宋体"/>
          <w:sz w:val="24"/>
          <w:szCs w:val="24"/>
        </w:rPr>
      </w:pPr>
      <w:r>
        <w:rPr>
          <w:rFonts w:hint="eastAsia" w:ascii="宋体" w:hAnsi="宋体" w:cs="宋体"/>
          <w:b/>
          <w:sz w:val="24"/>
          <w:szCs w:val="24"/>
        </w:rPr>
        <w:t>（一）安全保密原则</w:t>
      </w:r>
      <w:r>
        <w:rPr>
          <w:rFonts w:hint="eastAsia" w:ascii="宋体" w:hAnsi="宋体" w:cs="宋体"/>
          <w:sz w:val="24"/>
          <w:szCs w:val="24"/>
        </w:rPr>
        <w:t>。投标人在提供安全服务的过程中，要严格遵守合同规定，执行国家《保密法》及有关保密的法律法规，服务过程中凡是涉及到的任何用户信息均属保密信息，不得泄露给第三方单位或个人，不得利用这些信息损害用户利益。</w:t>
      </w:r>
    </w:p>
    <w:p w14:paraId="778B037B">
      <w:pPr>
        <w:ind w:firstLine="482"/>
        <w:rPr>
          <w:rFonts w:ascii="宋体" w:hAnsi="宋体" w:cs="宋体"/>
          <w:sz w:val="24"/>
          <w:szCs w:val="24"/>
        </w:rPr>
      </w:pPr>
      <w:r>
        <w:rPr>
          <w:rFonts w:hint="eastAsia" w:ascii="宋体" w:hAnsi="宋体" w:cs="宋体"/>
          <w:b/>
          <w:sz w:val="24"/>
          <w:szCs w:val="24"/>
        </w:rPr>
        <w:t>（二）最小影响原则</w:t>
      </w:r>
      <w:r>
        <w:rPr>
          <w:rFonts w:hint="eastAsia" w:ascii="宋体" w:hAnsi="宋体" w:cs="宋体"/>
          <w:sz w:val="24"/>
          <w:szCs w:val="24"/>
        </w:rPr>
        <w:t>。投标人开展的安全服务工作，要尽可能小的影响系统和网络的正常运行，不能对业务的正常运行产生显著影响（包括系统性能明显下降、网络阻塞、服务中断等），如不可抗力无法避免，应对风险进行说明。</w:t>
      </w:r>
    </w:p>
    <w:p w14:paraId="2B118ECE">
      <w:pPr>
        <w:ind w:firstLine="482"/>
        <w:rPr>
          <w:rFonts w:ascii="宋体" w:hAnsi="宋体" w:cs="宋体"/>
          <w:sz w:val="24"/>
          <w:szCs w:val="24"/>
        </w:rPr>
      </w:pPr>
      <w:r>
        <w:rPr>
          <w:rFonts w:hint="eastAsia" w:ascii="宋体" w:hAnsi="宋体" w:cs="宋体"/>
          <w:b/>
          <w:sz w:val="24"/>
          <w:szCs w:val="24"/>
        </w:rPr>
        <w:t>（三）规范性原则</w:t>
      </w:r>
      <w:r>
        <w:rPr>
          <w:rFonts w:hint="eastAsia" w:ascii="宋体" w:hAnsi="宋体" w:cs="宋体"/>
          <w:sz w:val="24"/>
          <w:szCs w:val="24"/>
        </w:rPr>
        <w:t>。投标人开展的安全服务工作，要由专业的安全服务人员依照规范的操作流程进行，对操作过程和结果要有相应的记录，提供完整的服务报告。</w:t>
      </w:r>
    </w:p>
    <w:p w14:paraId="5BA037BF">
      <w:pPr>
        <w:ind w:firstLine="482"/>
        <w:rPr>
          <w:rFonts w:ascii="宋体" w:hAnsi="宋体" w:cs="宋体"/>
          <w:sz w:val="24"/>
          <w:szCs w:val="24"/>
        </w:rPr>
      </w:pPr>
      <w:r>
        <w:rPr>
          <w:rFonts w:hint="eastAsia" w:ascii="宋体" w:hAnsi="宋体" w:cs="宋体"/>
          <w:b/>
          <w:sz w:val="24"/>
          <w:szCs w:val="24"/>
        </w:rPr>
        <w:t>（四）可控性原则</w:t>
      </w:r>
      <w:r>
        <w:rPr>
          <w:rFonts w:hint="eastAsia" w:ascii="宋体" w:hAnsi="宋体" w:cs="宋体"/>
          <w:sz w:val="24"/>
          <w:szCs w:val="24"/>
        </w:rPr>
        <w:t>。投标人在开展安全服务工作过程中采用的工具、方法和过程要在双方认可的范围之内，保证用户对于服务过程的可控性。</w:t>
      </w:r>
    </w:p>
    <w:p w14:paraId="2C877C18">
      <w:pPr>
        <w:ind w:firstLine="482"/>
        <w:rPr>
          <w:rFonts w:ascii="宋体" w:hAnsi="宋体" w:cs="宋体"/>
          <w:sz w:val="24"/>
          <w:szCs w:val="24"/>
        </w:rPr>
      </w:pPr>
      <w:r>
        <w:rPr>
          <w:rFonts w:hint="eastAsia" w:ascii="宋体" w:hAnsi="宋体" w:cs="宋体"/>
          <w:b/>
          <w:sz w:val="24"/>
          <w:szCs w:val="24"/>
        </w:rPr>
        <w:t>（五）质量保障原则</w:t>
      </w:r>
      <w:r>
        <w:rPr>
          <w:rFonts w:hint="eastAsia" w:ascii="宋体" w:hAnsi="宋体" w:cs="宋体"/>
          <w:sz w:val="24"/>
          <w:szCs w:val="24"/>
        </w:rPr>
        <w:t>。投标人开展的安全服务工作需特别重视项目质量管理，项目的实施需严格按照项目实施方案和流程进行，并由项目协调小组从中监督、控制项目的进度和质量。</w:t>
      </w:r>
    </w:p>
    <w:p w14:paraId="64B07929">
      <w:pPr>
        <w:pStyle w:val="2"/>
        <w:spacing w:before="0" w:after="0" w:line="360" w:lineRule="auto"/>
        <w:ind w:firstLine="482"/>
        <w:rPr>
          <w:rFonts w:ascii="宋体" w:hAnsi="宋体" w:cs="宋体"/>
          <w:color w:val="000000"/>
          <w:kern w:val="2"/>
          <w:sz w:val="24"/>
          <w:szCs w:val="24"/>
        </w:rPr>
      </w:pPr>
      <w:r>
        <w:rPr>
          <w:rFonts w:ascii="宋体" w:hAnsi="宋体" w:cs="宋体"/>
          <w:color w:val="000000"/>
          <w:kern w:val="2"/>
          <w:sz w:val="24"/>
          <w:szCs w:val="24"/>
        </w:rPr>
        <w:t>3</w:t>
      </w:r>
      <w:r>
        <w:rPr>
          <w:rFonts w:hint="eastAsia" w:ascii="宋体" w:hAnsi="宋体" w:cs="宋体"/>
          <w:color w:val="000000"/>
          <w:kern w:val="2"/>
          <w:sz w:val="24"/>
          <w:szCs w:val="24"/>
        </w:rPr>
        <w:t>.具体采购内容</w:t>
      </w:r>
    </w:p>
    <w:tbl>
      <w:tblPr>
        <w:tblStyle w:val="7"/>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634"/>
        <w:gridCol w:w="4560"/>
        <w:gridCol w:w="1409"/>
      </w:tblGrid>
      <w:tr w14:paraId="2921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Align w:val="center"/>
          </w:tcPr>
          <w:p w14:paraId="61250EEE">
            <w:pPr>
              <w:ind w:firstLine="0" w:firstLineChars="0"/>
              <w:jc w:val="both"/>
              <w:rPr>
                <w:sz w:val="18"/>
                <w:szCs w:val="18"/>
              </w:rPr>
            </w:pPr>
            <w:r>
              <w:rPr>
                <w:rFonts w:hint="eastAsia"/>
                <w:sz w:val="18"/>
                <w:szCs w:val="18"/>
              </w:rPr>
              <w:t>服务类别</w:t>
            </w:r>
          </w:p>
        </w:tc>
        <w:tc>
          <w:tcPr>
            <w:tcW w:w="936" w:type="pct"/>
            <w:vAlign w:val="center"/>
          </w:tcPr>
          <w:p w14:paraId="65BAB605">
            <w:pPr>
              <w:ind w:firstLine="0" w:firstLineChars="0"/>
              <w:jc w:val="both"/>
              <w:rPr>
                <w:sz w:val="18"/>
                <w:szCs w:val="18"/>
              </w:rPr>
            </w:pPr>
            <w:r>
              <w:rPr>
                <w:rFonts w:hint="eastAsia"/>
                <w:sz w:val="18"/>
                <w:szCs w:val="18"/>
              </w:rPr>
              <w:t>服务项目</w:t>
            </w:r>
          </w:p>
        </w:tc>
        <w:tc>
          <w:tcPr>
            <w:tcW w:w="2611" w:type="pct"/>
            <w:vAlign w:val="center"/>
          </w:tcPr>
          <w:p w14:paraId="46E5DDCB">
            <w:pPr>
              <w:ind w:firstLine="360"/>
              <w:jc w:val="center"/>
              <w:rPr>
                <w:sz w:val="18"/>
                <w:szCs w:val="18"/>
              </w:rPr>
            </w:pPr>
            <w:r>
              <w:rPr>
                <w:rFonts w:hint="eastAsia"/>
                <w:sz w:val="18"/>
                <w:szCs w:val="18"/>
              </w:rPr>
              <w:t>服务内容</w:t>
            </w:r>
          </w:p>
        </w:tc>
        <w:tc>
          <w:tcPr>
            <w:tcW w:w="807" w:type="pct"/>
            <w:vAlign w:val="center"/>
          </w:tcPr>
          <w:p w14:paraId="7B7A97DF">
            <w:pPr>
              <w:ind w:firstLine="0" w:firstLineChars="0"/>
              <w:jc w:val="left"/>
              <w:rPr>
                <w:sz w:val="18"/>
                <w:szCs w:val="18"/>
              </w:rPr>
            </w:pPr>
            <w:r>
              <w:rPr>
                <w:rFonts w:hint="eastAsia"/>
                <w:sz w:val="18"/>
                <w:szCs w:val="18"/>
              </w:rPr>
              <w:t>最少服务频率</w:t>
            </w:r>
          </w:p>
        </w:tc>
      </w:tr>
      <w:tr w14:paraId="7995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restart"/>
            <w:vAlign w:val="center"/>
          </w:tcPr>
          <w:p w14:paraId="7E588916">
            <w:pPr>
              <w:ind w:firstLine="0" w:firstLineChars="0"/>
              <w:jc w:val="both"/>
              <w:rPr>
                <w:sz w:val="18"/>
                <w:szCs w:val="18"/>
              </w:rPr>
            </w:pPr>
            <w:r>
              <w:rPr>
                <w:rFonts w:hint="eastAsia"/>
                <w:sz w:val="18"/>
                <w:szCs w:val="18"/>
              </w:rPr>
              <w:t>安全咨询</w:t>
            </w:r>
          </w:p>
        </w:tc>
        <w:tc>
          <w:tcPr>
            <w:tcW w:w="936" w:type="pct"/>
            <w:vAlign w:val="center"/>
          </w:tcPr>
          <w:p w14:paraId="25900DAD">
            <w:pPr>
              <w:ind w:firstLine="0" w:firstLineChars="0"/>
              <w:jc w:val="both"/>
              <w:rPr>
                <w:sz w:val="18"/>
                <w:szCs w:val="18"/>
              </w:rPr>
            </w:pPr>
            <w:r>
              <w:rPr>
                <w:rFonts w:hint="eastAsia"/>
                <w:sz w:val="18"/>
                <w:szCs w:val="18"/>
              </w:rPr>
              <w:t>安全规划咨询</w:t>
            </w:r>
          </w:p>
        </w:tc>
        <w:tc>
          <w:tcPr>
            <w:tcW w:w="2611" w:type="pct"/>
          </w:tcPr>
          <w:p w14:paraId="226962EB">
            <w:pPr>
              <w:ind w:firstLine="360"/>
              <w:jc w:val="left"/>
              <w:rPr>
                <w:sz w:val="18"/>
                <w:szCs w:val="18"/>
              </w:rPr>
            </w:pPr>
            <w:r>
              <w:rPr>
                <w:sz w:val="18"/>
                <w:szCs w:val="18"/>
              </w:rPr>
              <w:t>通过对医院的网络安全现状、漏洞扫描以及攻防演习等情况开展差距评估和行业对标，识别业务活动中的薄弱环节，提供局域可实施性的网络和数据安全规划咨询方案，确定未来1-3年的网络和数据安全建设工作任务和行动路线图，为网络和数据安全提供指导建议。</w:t>
            </w:r>
          </w:p>
          <w:p w14:paraId="40048645">
            <w:pPr>
              <w:ind w:firstLine="360"/>
              <w:jc w:val="left"/>
              <w:rPr>
                <w:sz w:val="18"/>
                <w:szCs w:val="18"/>
              </w:rPr>
            </w:pPr>
            <w:r>
              <w:rPr>
                <w:sz w:val="18"/>
                <w:szCs w:val="18"/>
              </w:rPr>
              <w:t>包含：网络</w:t>
            </w:r>
            <w:r>
              <w:rPr>
                <w:rFonts w:hint="eastAsia"/>
                <w:sz w:val="18"/>
                <w:szCs w:val="18"/>
              </w:rPr>
              <w:t>安全</w:t>
            </w:r>
            <w:r>
              <w:rPr>
                <w:sz w:val="18"/>
                <w:szCs w:val="18"/>
              </w:rPr>
              <w:t>架构调整、终端管控问题、物联网医疗设备安全管理问题、脆弱性环节、设备管理、密码管理、数据安全等</w:t>
            </w:r>
          </w:p>
        </w:tc>
        <w:tc>
          <w:tcPr>
            <w:tcW w:w="807" w:type="pct"/>
            <w:shd w:val="clear" w:color="auto" w:fill="auto"/>
            <w:vAlign w:val="center"/>
          </w:tcPr>
          <w:p w14:paraId="089FE80D">
            <w:pPr>
              <w:ind w:firstLine="0" w:firstLineChars="0"/>
              <w:jc w:val="both"/>
              <w:rPr>
                <w:sz w:val="18"/>
                <w:szCs w:val="18"/>
              </w:rPr>
            </w:pPr>
            <w:r>
              <w:rPr>
                <w:rFonts w:hint="eastAsia"/>
                <w:sz w:val="18"/>
                <w:szCs w:val="18"/>
              </w:rPr>
              <w:t>全年</w:t>
            </w:r>
          </w:p>
        </w:tc>
      </w:tr>
      <w:tr w14:paraId="4244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continue"/>
            <w:vAlign w:val="center"/>
          </w:tcPr>
          <w:p w14:paraId="07924FB2">
            <w:pPr>
              <w:ind w:firstLine="360"/>
              <w:jc w:val="center"/>
              <w:rPr>
                <w:sz w:val="18"/>
                <w:szCs w:val="18"/>
              </w:rPr>
            </w:pPr>
          </w:p>
        </w:tc>
        <w:tc>
          <w:tcPr>
            <w:tcW w:w="936" w:type="pct"/>
            <w:vAlign w:val="center"/>
          </w:tcPr>
          <w:p w14:paraId="13080EF2">
            <w:pPr>
              <w:ind w:firstLine="0" w:firstLineChars="0"/>
              <w:jc w:val="both"/>
              <w:rPr>
                <w:sz w:val="18"/>
                <w:szCs w:val="18"/>
              </w:rPr>
            </w:pPr>
            <w:r>
              <w:rPr>
                <w:rFonts w:hint="eastAsia"/>
                <w:sz w:val="18"/>
                <w:szCs w:val="18"/>
              </w:rPr>
              <w:t>医疗信息化和智能化评级对标</w:t>
            </w:r>
          </w:p>
        </w:tc>
        <w:tc>
          <w:tcPr>
            <w:tcW w:w="2611" w:type="pct"/>
          </w:tcPr>
          <w:p w14:paraId="373224FE">
            <w:pPr>
              <w:ind w:firstLine="360"/>
              <w:jc w:val="left"/>
              <w:rPr>
                <w:sz w:val="18"/>
                <w:szCs w:val="18"/>
              </w:rPr>
            </w:pPr>
            <w:r>
              <w:rPr>
                <w:rFonts w:hint="eastAsia"/>
                <w:sz w:val="18"/>
                <w:szCs w:val="18"/>
              </w:rPr>
              <w:t>提供智慧服务、智慧管理、互联互通、电子病历评级条款对标服务，依据医院现状，输出相关评级条款信息安全的符合和不符合情况，并附条款建设要求解读，提供整改方案，达到达标效果</w:t>
            </w:r>
          </w:p>
        </w:tc>
        <w:tc>
          <w:tcPr>
            <w:tcW w:w="807" w:type="pct"/>
            <w:shd w:val="clear" w:color="auto" w:fill="auto"/>
            <w:vAlign w:val="center"/>
          </w:tcPr>
          <w:p w14:paraId="19C1FE44">
            <w:pPr>
              <w:ind w:firstLine="0" w:firstLineChars="0"/>
              <w:jc w:val="both"/>
              <w:rPr>
                <w:sz w:val="18"/>
                <w:szCs w:val="18"/>
              </w:rPr>
            </w:pPr>
            <w:r>
              <w:rPr>
                <w:rFonts w:hint="eastAsia"/>
                <w:sz w:val="18"/>
                <w:szCs w:val="18"/>
              </w:rPr>
              <w:t>全年</w:t>
            </w:r>
          </w:p>
        </w:tc>
      </w:tr>
      <w:tr w14:paraId="7C08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restart"/>
            <w:vAlign w:val="center"/>
          </w:tcPr>
          <w:p w14:paraId="39FD7A93">
            <w:pPr>
              <w:ind w:firstLine="0" w:firstLineChars="0"/>
              <w:jc w:val="both"/>
              <w:rPr>
                <w:sz w:val="18"/>
                <w:szCs w:val="18"/>
              </w:rPr>
            </w:pPr>
            <w:r>
              <w:rPr>
                <w:rFonts w:hint="eastAsia"/>
                <w:sz w:val="18"/>
                <w:szCs w:val="18"/>
              </w:rPr>
              <w:t>安全评估</w:t>
            </w:r>
          </w:p>
        </w:tc>
        <w:tc>
          <w:tcPr>
            <w:tcW w:w="936" w:type="pct"/>
            <w:vAlign w:val="center"/>
          </w:tcPr>
          <w:p w14:paraId="521407AA">
            <w:pPr>
              <w:ind w:firstLine="0" w:firstLineChars="0"/>
              <w:jc w:val="both"/>
              <w:rPr>
                <w:sz w:val="18"/>
                <w:szCs w:val="18"/>
              </w:rPr>
            </w:pPr>
            <w:r>
              <w:rPr>
                <w:rFonts w:hint="eastAsia"/>
                <w:sz w:val="18"/>
                <w:szCs w:val="18"/>
              </w:rPr>
              <w:t>信息安全风险评估</w:t>
            </w:r>
          </w:p>
        </w:tc>
        <w:tc>
          <w:tcPr>
            <w:tcW w:w="2611" w:type="pct"/>
          </w:tcPr>
          <w:p w14:paraId="6576E962">
            <w:pPr>
              <w:ind w:firstLine="360"/>
              <w:jc w:val="left"/>
              <w:rPr>
                <w:sz w:val="18"/>
                <w:szCs w:val="18"/>
              </w:rPr>
            </w:pPr>
            <w:r>
              <w:rPr>
                <w:rFonts w:hint="eastAsia"/>
                <w:sz w:val="18"/>
                <w:szCs w:val="18"/>
              </w:rPr>
              <w:t>根据医院信息系统的实际情况开展安全风险进行识别与分析，采用传统的风险评估方法，从资产、威胁、脆弱性的角度，进行风险值量化。通过安全管理体系评估评估安全策略、规章制度、程序、表单体系的完整性，及制度是否得到贯彻执行，是否及时更新，是否全面覆盖需进行网络安全风险评估的信息系统。从风险管理的角度，系统地分析信息系统所面临的威胁及其存在的脆弱性，评估安全事件一旦发生时可能造成的危害程度，并提出有针对性的防护对策和整改措施，将风险控制在可接受的水平，最大程度地保障网络安全。</w:t>
            </w:r>
          </w:p>
        </w:tc>
        <w:tc>
          <w:tcPr>
            <w:tcW w:w="807" w:type="pct"/>
            <w:vAlign w:val="center"/>
          </w:tcPr>
          <w:p w14:paraId="2E6F39CA">
            <w:pPr>
              <w:ind w:firstLine="0" w:firstLineChars="0"/>
              <w:jc w:val="both"/>
              <w:rPr>
                <w:sz w:val="18"/>
                <w:szCs w:val="18"/>
              </w:rPr>
            </w:pPr>
            <w:r>
              <w:rPr>
                <w:rFonts w:hint="eastAsia"/>
                <w:sz w:val="18"/>
                <w:szCs w:val="18"/>
              </w:rPr>
              <w:t>1次/年</w:t>
            </w:r>
          </w:p>
        </w:tc>
      </w:tr>
      <w:tr w14:paraId="1135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continue"/>
            <w:vAlign w:val="center"/>
          </w:tcPr>
          <w:p w14:paraId="7664072C">
            <w:pPr>
              <w:ind w:firstLine="360"/>
              <w:jc w:val="center"/>
              <w:rPr>
                <w:sz w:val="18"/>
                <w:szCs w:val="18"/>
              </w:rPr>
            </w:pPr>
          </w:p>
        </w:tc>
        <w:tc>
          <w:tcPr>
            <w:tcW w:w="936" w:type="pct"/>
            <w:vAlign w:val="center"/>
          </w:tcPr>
          <w:p w14:paraId="76742B6D">
            <w:pPr>
              <w:ind w:firstLine="0" w:firstLineChars="0"/>
              <w:jc w:val="both"/>
              <w:rPr>
                <w:sz w:val="18"/>
                <w:szCs w:val="18"/>
              </w:rPr>
            </w:pPr>
            <w:r>
              <w:rPr>
                <w:rFonts w:hint="eastAsia"/>
                <w:sz w:val="18"/>
                <w:szCs w:val="18"/>
              </w:rPr>
              <w:t>系统渗透测试</w:t>
            </w:r>
          </w:p>
        </w:tc>
        <w:tc>
          <w:tcPr>
            <w:tcW w:w="2611" w:type="pct"/>
          </w:tcPr>
          <w:p w14:paraId="61B2EBF5">
            <w:pPr>
              <w:ind w:firstLine="360"/>
              <w:jc w:val="left"/>
              <w:rPr>
                <w:sz w:val="18"/>
                <w:szCs w:val="18"/>
              </w:rPr>
            </w:pPr>
            <w:r>
              <w:rPr>
                <w:rFonts w:hint="eastAsia"/>
                <w:sz w:val="18"/>
                <w:szCs w:val="18"/>
              </w:rPr>
              <w:t>1</w:t>
            </w:r>
            <w:r>
              <w:rPr>
                <w:sz w:val="18"/>
                <w:szCs w:val="18"/>
              </w:rPr>
              <w:t>.</w:t>
            </w:r>
            <w:r>
              <w:rPr>
                <w:rFonts w:hint="eastAsia"/>
                <w:sz w:val="18"/>
                <w:szCs w:val="18"/>
              </w:rPr>
              <w:t>根据上级安全监管单位的政策要求，结合医院的实际情况，模拟黑客的攻击方法对系统和网络进行非破坏性质的攻击性测试，目的是侵入系统，获取系统控制权并将入侵的过程和细节产生报告给用户，由此证实用户系统所存在的安全威胁和风险，并能及时提醒安全管理员完善安全策略。如存在中高危漏洞则通知相关部门进行漏洞修复，并进行复测，出具漏扫和复测报告。</w:t>
            </w:r>
          </w:p>
          <w:p w14:paraId="2812FD7B">
            <w:pPr>
              <w:ind w:firstLine="360"/>
              <w:jc w:val="left"/>
              <w:rPr>
                <w:sz w:val="18"/>
                <w:szCs w:val="18"/>
              </w:rPr>
            </w:pPr>
            <w:r>
              <w:rPr>
                <w:rFonts w:hint="eastAsia"/>
                <w:sz w:val="18"/>
                <w:szCs w:val="18"/>
              </w:rPr>
              <w:t>2</w:t>
            </w:r>
            <w:r>
              <w:rPr>
                <w:sz w:val="18"/>
                <w:szCs w:val="18"/>
              </w:rPr>
              <w:t>.</w:t>
            </w:r>
            <w:r>
              <w:rPr>
                <w:rFonts w:hint="eastAsia"/>
                <w:sz w:val="18"/>
                <w:szCs w:val="18"/>
              </w:rPr>
              <w:t>渗透测试包含系统数量：3个系统。</w:t>
            </w:r>
          </w:p>
        </w:tc>
        <w:tc>
          <w:tcPr>
            <w:tcW w:w="807" w:type="pct"/>
            <w:vAlign w:val="center"/>
          </w:tcPr>
          <w:p w14:paraId="57FC9D91">
            <w:pPr>
              <w:ind w:firstLine="0" w:firstLineChars="0"/>
              <w:jc w:val="both"/>
              <w:rPr>
                <w:sz w:val="18"/>
                <w:szCs w:val="18"/>
              </w:rPr>
            </w:pPr>
            <w:r>
              <w:rPr>
                <w:rFonts w:hint="eastAsia"/>
                <w:sz w:val="18"/>
                <w:szCs w:val="18"/>
              </w:rPr>
              <w:t>1次/年</w:t>
            </w:r>
          </w:p>
        </w:tc>
      </w:tr>
      <w:tr w14:paraId="40DB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continue"/>
            <w:vAlign w:val="center"/>
          </w:tcPr>
          <w:p w14:paraId="53A60312">
            <w:pPr>
              <w:ind w:firstLine="360"/>
              <w:jc w:val="center"/>
              <w:rPr>
                <w:sz w:val="18"/>
                <w:szCs w:val="18"/>
              </w:rPr>
            </w:pPr>
          </w:p>
        </w:tc>
        <w:tc>
          <w:tcPr>
            <w:tcW w:w="936" w:type="pct"/>
            <w:vAlign w:val="center"/>
          </w:tcPr>
          <w:p w14:paraId="22D09AD7">
            <w:pPr>
              <w:ind w:firstLine="0" w:firstLineChars="0"/>
              <w:jc w:val="both"/>
              <w:rPr>
                <w:sz w:val="18"/>
                <w:szCs w:val="18"/>
              </w:rPr>
            </w:pPr>
            <w:r>
              <w:rPr>
                <w:rFonts w:hint="eastAsia"/>
                <w:sz w:val="18"/>
                <w:szCs w:val="18"/>
              </w:rPr>
              <w:t>新系统上线检测</w:t>
            </w:r>
          </w:p>
        </w:tc>
        <w:tc>
          <w:tcPr>
            <w:tcW w:w="2611" w:type="pct"/>
          </w:tcPr>
          <w:p w14:paraId="37D0E0A7">
            <w:pPr>
              <w:ind w:firstLine="360"/>
              <w:jc w:val="left"/>
              <w:rPr>
                <w:sz w:val="18"/>
                <w:szCs w:val="18"/>
              </w:rPr>
            </w:pPr>
            <w:r>
              <w:rPr>
                <w:rFonts w:hint="eastAsia"/>
                <w:sz w:val="18"/>
                <w:szCs w:val="18"/>
              </w:rPr>
              <w:t>按需对肿瘤医院新上线系统进行基线核查、漏洞扫描等方法进行安全检测，收集需上线系统的web组件，开发框架等信息，检验新上线系统的安全问题，并与开发商在上线的全阶段进行密切沟通，在开发商修复后进行闭环复测，确保漏洞修复到位。针对上线检测服务输出检测情况、修复与加固建议。</w:t>
            </w:r>
          </w:p>
        </w:tc>
        <w:tc>
          <w:tcPr>
            <w:tcW w:w="807" w:type="pct"/>
            <w:vAlign w:val="center"/>
          </w:tcPr>
          <w:p w14:paraId="6347497F">
            <w:pPr>
              <w:ind w:firstLine="0" w:firstLineChars="0"/>
              <w:jc w:val="both"/>
              <w:rPr>
                <w:sz w:val="18"/>
                <w:szCs w:val="18"/>
              </w:rPr>
            </w:pPr>
            <w:r>
              <w:rPr>
                <w:rFonts w:hint="eastAsia"/>
                <w:sz w:val="18"/>
                <w:szCs w:val="18"/>
              </w:rPr>
              <w:t>日常工作</w:t>
            </w:r>
          </w:p>
        </w:tc>
      </w:tr>
      <w:tr w14:paraId="3E09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restart"/>
            <w:vAlign w:val="center"/>
          </w:tcPr>
          <w:p w14:paraId="3F65CFD3">
            <w:pPr>
              <w:ind w:firstLine="0" w:firstLineChars="0"/>
              <w:jc w:val="both"/>
              <w:rPr>
                <w:sz w:val="18"/>
                <w:szCs w:val="18"/>
              </w:rPr>
            </w:pPr>
            <w:r>
              <w:rPr>
                <w:sz w:val="18"/>
                <w:szCs w:val="18"/>
              </w:rPr>
              <w:t>安全合规</w:t>
            </w:r>
          </w:p>
        </w:tc>
        <w:tc>
          <w:tcPr>
            <w:tcW w:w="936" w:type="pct"/>
            <w:vAlign w:val="center"/>
          </w:tcPr>
          <w:p w14:paraId="3FE2A679">
            <w:pPr>
              <w:ind w:firstLine="0" w:firstLineChars="0"/>
              <w:jc w:val="both"/>
              <w:rPr>
                <w:sz w:val="18"/>
                <w:szCs w:val="18"/>
              </w:rPr>
            </w:pPr>
            <w:r>
              <w:rPr>
                <w:rFonts w:hint="eastAsia"/>
                <w:sz w:val="18"/>
                <w:szCs w:val="18"/>
              </w:rPr>
              <w:t>完善安全制度</w:t>
            </w:r>
          </w:p>
        </w:tc>
        <w:tc>
          <w:tcPr>
            <w:tcW w:w="2611" w:type="pct"/>
          </w:tcPr>
          <w:p w14:paraId="75193B1B">
            <w:pPr>
              <w:ind w:firstLine="360"/>
              <w:jc w:val="left"/>
              <w:rPr>
                <w:sz w:val="18"/>
                <w:szCs w:val="18"/>
              </w:rPr>
            </w:pPr>
            <w:r>
              <w:rPr>
                <w:sz w:val="18"/>
                <w:szCs w:val="18"/>
              </w:rPr>
              <w:t>根据风险评估、等保测评结果，按照医院要求对安全管理制度和规范流程进行梳理和调整，保障信息安全管理得到有效执行和部分管理风险得到有效控制。</w:t>
            </w:r>
          </w:p>
        </w:tc>
        <w:tc>
          <w:tcPr>
            <w:tcW w:w="807" w:type="pct"/>
            <w:vAlign w:val="center"/>
          </w:tcPr>
          <w:p w14:paraId="0F76077B">
            <w:pPr>
              <w:ind w:firstLine="0" w:firstLineChars="0"/>
              <w:jc w:val="both"/>
              <w:rPr>
                <w:sz w:val="18"/>
                <w:szCs w:val="18"/>
              </w:rPr>
            </w:pPr>
            <w:r>
              <w:rPr>
                <w:rFonts w:hint="eastAsia"/>
                <w:sz w:val="18"/>
                <w:szCs w:val="18"/>
              </w:rPr>
              <w:t>日常工作</w:t>
            </w:r>
          </w:p>
        </w:tc>
      </w:tr>
      <w:tr w14:paraId="06DF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continue"/>
            <w:vAlign w:val="center"/>
          </w:tcPr>
          <w:p w14:paraId="1305BDED">
            <w:pPr>
              <w:ind w:firstLine="360"/>
              <w:jc w:val="center"/>
              <w:rPr>
                <w:sz w:val="18"/>
                <w:szCs w:val="18"/>
              </w:rPr>
            </w:pPr>
          </w:p>
        </w:tc>
        <w:tc>
          <w:tcPr>
            <w:tcW w:w="936" w:type="pct"/>
            <w:vAlign w:val="center"/>
          </w:tcPr>
          <w:p w14:paraId="5E53DD33">
            <w:pPr>
              <w:ind w:firstLine="0" w:firstLineChars="0"/>
              <w:jc w:val="both"/>
              <w:rPr>
                <w:sz w:val="18"/>
                <w:szCs w:val="18"/>
              </w:rPr>
            </w:pPr>
            <w:r>
              <w:rPr>
                <w:rFonts w:hint="eastAsia"/>
                <w:sz w:val="18"/>
                <w:szCs w:val="18"/>
              </w:rPr>
              <w:t>信息安全培训</w:t>
            </w:r>
          </w:p>
        </w:tc>
        <w:tc>
          <w:tcPr>
            <w:tcW w:w="2611" w:type="pct"/>
          </w:tcPr>
          <w:p w14:paraId="5259DEE5">
            <w:pPr>
              <w:ind w:firstLine="360"/>
              <w:jc w:val="left"/>
              <w:rPr>
                <w:sz w:val="18"/>
                <w:szCs w:val="18"/>
              </w:rPr>
            </w:pPr>
            <w:r>
              <w:rPr>
                <w:rFonts w:hint="eastAsia"/>
                <w:sz w:val="18"/>
                <w:szCs w:val="18"/>
              </w:rPr>
              <w:t>1.</w:t>
            </w:r>
            <w:r>
              <w:rPr>
                <w:sz w:val="18"/>
                <w:szCs w:val="18"/>
              </w:rPr>
              <w:t>针对肿瘤医院不同的对象展开不同层面的网络安全培训活动，涵盖模拟钓鱼测试</w:t>
            </w:r>
            <w:r>
              <w:rPr>
                <w:rFonts w:hint="eastAsia"/>
                <w:sz w:val="18"/>
                <w:szCs w:val="18"/>
              </w:rPr>
              <w:t>等</w:t>
            </w:r>
            <w:r>
              <w:rPr>
                <w:sz w:val="18"/>
                <w:szCs w:val="18"/>
              </w:rPr>
              <w:t>。</w:t>
            </w:r>
          </w:p>
          <w:p w14:paraId="5CC8CA36">
            <w:pPr>
              <w:ind w:firstLine="360"/>
              <w:jc w:val="left"/>
              <w:rPr>
                <w:sz w:val="18"/>
                <w:szCs w:val="18"/>
              </w:rPr>
            </w:pPr>
            <w:r>
              <w:rPr>
                <w:rFonts w:hint="eastAsia"/>
                <w:sz w:val="18"/>
                <w:szCs w:val="18"/>
              </w:rPr>
              <w:t>2</w:t>
            </w:r>
            <w:r>
              <w:rPr>
                <w:sz w:val="18"/>
                <w:szCs w:val="18"/>
              </w:rPr>
              <w:t>.网络安全法律法规、相关文件的解读培训。</w:t>
            </w:r>
          </w:p>
        </w:tc>
        <w:tc>
          <w:tcPr>
            <w:tcW w:w="807" w:type="pct"/>
            <w:vAlign w:val="center"/>
          </w:tcPr>
          <w:p w14:paraId="5BC3F01A">
            <w:pPr>
              <w:ind w:firstLine="0" w:firstLineChars="0"/>
              <w:jc w:val="both"/>
              <w:rPr>
                <w:sz w:val="18"/>
                <w:szCs w:val="18"/>
              </w:rPr>
            </w:pPr>
            <w:r>
              <w:rPr>
                <w:rFonts w:hint="eastAsia"/>
                <w:sz w:val="18"/>
                <w:szCs w:val="18"/>
              </w:rPr>
              <w:t>2次/年</w:t>
            </w:r>
          </w:p>
        </w:tc>
      </w:tr>
      <w:tr w14:paraId="027F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continue"/>
            <w:vAlign w:val="center"/>
          </w:tcPr>
          <w:p w14:paraId="36349FA7">
            <w:pPr>
              <w:ind w:firstLine="360"/>
              <w:jc w:val="center"/>
              <w:rPr>
                <w:sz w:val="18"/>
                <w:szCs w:val="18"/>
              </w:rPr>
            </w:pPr>
          </w:p>
        </w:tc>
        <w:tc>
          <w:tcPr>
            <w:tcW w:w="936" w:type="pct"/>
            <w:vAlign w:val="center"/>
          </w:tcPr>
          <w:p w14:paraId="1BDD90ED">
            <w:pPr>
              <w:ind w:firstLine="0" w:firstLineChars="0"/>
              <w:jc w:val="both"/>
              <w:rPr>
                <w:sz w:val="18"/>
                <w:szCs w:val="18"/>
              </w:rPr>
            </w:pPr>
            <w:r>
              <w:rPr>
                <w:rFonts w:hint="eastAsia"/>
                <w:sz w:val="18"/>
                <w:szCs w:val="18"/>
              </w:rPr>
              <w:t>网络安全等级保护合规保障</w:t>
            </w:r>
          </w:p>
        </w:tc>
        <w:tc>
          <w:tcPr>
            <w:tcW w:w="2611" w:type="pct"/>
          </w:tcPr>
          <w:p w14:paraId="1E0DA3F9">
            <w:pPr>
              <w:ind w:firstLine="360"/>
              <w:jc w:val="left"/>
              <w:rPr>
                <w:sz w:val="18"/>
                <w:szCs w:val="18"/>
              </w:rPr>
            </w:pPr>
            <w:r>
              <w:rPr>
                <w:sz w:val="18"/>
                <w:szCs w:val="18"/>
              </w:rPr>
              <w:t>结合等级保护2.0相关标准要求协助医院开展等级保护定级备案、自测评、安全整改以及配合第三方测评的工作，协助医院通过等级保护测评。</w:t>
            </w:r>
          </w:p>
        </w:tc>
        <w:tc>
          <w:tcPr>
            <w:tcW w:w="807" w:type="pct"/>
            <w:vAlign w:val="center"/>
          </w:tcPr>
          <w:p w14:paraId="33774ADB">
            <w:pPr>
              <w:ind w:firstLine="0" w:firstLineChars="0"/>
              <w:jc w:val="both"/>
              <w:rPr>
                <w:sz w:val="18"/>
                <w:szCs w:val="18"/>
              </w:rPr>
            </w:pPr>
            <w:r>
              <w:rPr>
                <w:rFonts w:hint="eastAsia"/>
                <w:sz w:val="18"/>
                <w:szCs w:val="18"/>
              </w:rPr>
              <w:t>1次/年</w:t>
            </w:r>
          </w:p>
        </w:tc>
      </w:tr>
      <w:tr w14:paraId="7E05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continue"/>
            <w:vAlign w:val="center"/>
          </w:tcPr>
          <w:p w14:paraId="6EEAFB8E">
            <w:pPr>
              <w:ind w:firstLine="360"/>
              <w:jc w:val="center"/>
              <w:rPr>
                <w:sz w:val="18"/>
                <w:szCs w:val="18"/>
              </w:rPr>
            </w:pPr>
          </w:p>
        </w:tc>
        <w:tc>
          <w:tcPr>
            <w:tcW w:w="936" w:type="pct"/>
            <w:vAlign w:val="center"/>
          </w:tcPr>
          <w:p w14:paraId="47C179A3">
            <w:pPr>
              <w:ind w:firstLine="0" w:firstLineChars="0"/>
              <w:jc w:val="both"/>
              <w:rPr>
                <w:sz w:val="18"/>
                <w:szCs w:val="18"/>
              </w:rPr>
            </w:pPr>
            <w:r>
              <w:rPr>
                <w:rFonts w:hint="eastAsia"/>
                <w:sz w:val="18"/>
                <w:szCs w:val="18"/>
              </w:rPr>
              <w:t>网络安全联合检查</w:t>
            </w:r>
          </w:p>
        </w:tc>
        <w:tc>
          <w:tcPr>
            <w:tcW w:w="2611" w:type="pct"/>
          </w:tcPr>
          <w:p w14:paraId="64644724">
            <w:pPr>
              <w:ind w:firstLine="360"/>
              <w:jc w:val="left"/>
              <w:rPr>
                <w:sz w:val="18"/>
                <w:szCs w:val="18"/>
              </w:rPr>
            </w:pPr>
            <w:r>
              <w:rPr>
                <w:sz w:val="18"/>
                <w:szCs w:val="18"/>
              </w:rPr>
              <w:t>根据当年度上级监管单位的党组责任制、绩效考核、联合检查等考核要求提供本年度的迎检服务工作。通过编写当年的工作计划以及指标解读，拆解指标完成情况并配合单位落地，在检查前准备联合检查材料资料汇编并协助肿瘤医院通过现场检查。</w:t>
            </w:r>
          </w:p>
        </w:tc>
        <w:tc>
          <w:tcPr>
            <w:tcW w:w="807" w:type="pct"/>
            <w:vAlign w:val="center"/>
          </w:tcPr>
          <w:p w14:paraId="760A239D">
            <w:pPr>
              <w:ind w:firstLine="0" w:firstLineChars="0"/>
              <w:jc w:val="both"/>
              <w:rPr>
                <w:sz w:val="18"/>
                <w:szCs w:val="18"/>
              </w:rPr>
            </w:pPr>
            <w:r>
              <w:rPr>
                <w:rFonts w:hint="eastAsia"/>
                <w:sz w:val="18"/>
                <w:szCs w:val="18"/>
              </w:rPr>
              <w:t>日常工作</w:t>
            </w:r>
          </w:p>
        </w:tc>
      </w:tr>
      <w:tr w14:paraId="350E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restart"/>
            <w:vAlign w:val="center"/>
          </w:tcPr>
          <w:p w14:paraId="2AB5B5F6">
            <w:pPr>
              <w:ind w:firstLine="0" w:firstLineChars="0"/>
              <w:jc w:val="both"/>
              <w:rPr>
                <w:sz w:val="18"/>
                <w:szCs w:val="18"/>
              </w:rPr>
            </w:pPr>
            <w:r>
              <w:rPr>
                <w:sz w:val="18"/>
                <w:szCs w:val="18"/>
              </w:rPr>
              <w:t>日常安全运维</w:t>
            </w:r>
          </w:p>
        </w:tc>
        <w:tc>
          <w:tcPr>
            <w:tcW w:w="936" w:type="pct"/>
            <w:vAlign w:val="center"/>
          </w:tcPr>
          <w:p w14:paraId="18125AB0">
            <w:pPr>
              <w:ind w:firstLine="0" w:firstLineChars="0"/>
              <w:jc w:val="both"/>
              <w:rPr>
                <w:sz w:val="18"/>
                <w:szCs w:val="18"/>
              </w:rPr>
            </w:pPr>
            <w:r>
              <w:rPr>
                <w:rFonts w:hint="eastAsia"/>
                <w:sz w:val="18"/>
                <w:szCs w:val="18"/>
              </w:rPr>
              <w:t>驻场运维</w:t>
            </w:r>
          </w:p>
        </w:tc>
        <w:tc>
          <w:tcPr>
            <w:tcW w:w="2611" w:type="pct"/>
          </w:tcPr>
          <w:p w14:paraId="132DCDE2">
            <w:pPr>
              <w:ind w:firstLine="360"/>
              <w:jc w:val="left"/>
              <w:rPr>
                <w:sz w:val="18"/>
                <w:szCs w:val="18"/>
              </w:rPr>
            </w:pPr>
            <w:r>
              <w:rPr>
                <w:sz w:val="18"/>
                <w:szCs w:val="18"/>
              </w:rPr>
              <w:t>根据医院网络安全的实际现状提供1位安全服务工程师驻场现场开展安全运维工作</w:t>
            </w:r>
            <w:r>
              <w:rPr>
                <w:rFonts w:hint="eastAsia"/>
                <w:sz w:val="18"/>
                <w:szCs w:val="18"/>
              </w:rPr>
              <w:t>：</w:t>
            </w:r>
          </w:p>
          <w:p w14:paraId="5F401690">
            <w:pPr>
              <w:tabs>
                <w:tab w:val="left" w:pos="312"/>
              </w:tabs>
              <w:ind w:firstLine="0" w:firstLineChars="0"/>
              <w:jc w:val="left"/>
              <w:rPr>
                <w:sz w:val="18"/>
                <w:szCs w:val="18"/>
              </w:rPr>
            </w:pPr>
            <w:r>
              <w:rPr>
                <w:sz w:val="18"/>
                <w:szCs w:val="18"/>
              </w:rPr>
              <w:t>1.监控管理安全设备的运行、解决各类安全问题</w:t>
            </w:r>
            <w:r>
              <w:rPr>
                <w:rFonts w:hint="eastAsia"/>
                <w:sz w:val="18"/>
                <w:szCs w:val="18"/>
              </w:rPr>
              <w:t>。</w:t>
            </w:r>
          </w:p>
          <w:p w14:paraId="38AE8CBF">
            <w:pPr>
              <w:tabs>
                <w:tab w:val="left" w:pos="312"/>
              </w:tabs>
              <w:ind w:firstLine="0" w:firstLineChars="0"/>
              <w:jc w:val="left"/>
              <w:rPr>
                <w:sz w:val="18"/>
                <w:szCs w:val="18"/>
              </w:rPr>
            </w:pPr>
            <w:r>
              <w:rPr>
                <w:sz w:val="18"/>
                <w:szCs w:val="18"/>
              </w:rPr>
              <w:t>2.制订巡检制度、操作规范、应急处理方法等</w:t>
            </w:r>
            <w:r>
              <w:rPr>
                <w:rFonts w:hint="eastAsia"/>
                <w:sz w:val="18"/>
                <w:szCs w:val="18"/>
              </w:rPr>
              <w:t>。</w:t>
            </w:r>
          </w:p>
          <w:p w14:paraId="1B5A4D96">
            <w:pPr>
              <w:tabs>
                <w:tab w:val="left" w:pos="312"/>
              </w:tabs>
              <w:ind w:firstLine="0" w:firstLineChars="0"/>
              <w:jc w:val="left"/>
              <w:rPr>
                <w:sz w:val="18"/>
                <w:szCs w:val="18"/>
              </w:rPr>
            </w:pPr>
            <w:r>
              <w:rPr>
                <w:sz w:val="18"/>
                <w:szCs w:val="18"/>
              </w:rPr>
              <w:t>3.排除安全隐患、处理紧急事件和重大故障等工作</w:t>
            </w:r>
            <w:r>
              <w:rPr>
                <w:rFonts w:hint="eastAsia"/>
                <w:sz w:val="18"/>
                <w:szCs w:val="18"/>
              </w:rPr>
              <w:t>。</w:t>
            </w:r>
          </w:p>
          <w:p w14:paraId="725F30EE">
            <w:pPr>
              <w:tabs>
                <w:tab w:val="left" w:pos="312"/>
              </w:tabs>
              <w:ind w:firstLine="0" w:firstLineChars="0"/>
              <w:jc w:val="left"/>
              <w:rPr>
                <w:sz w:val="18"/>
                <w:szCs w:val="18"/>
              </w:rPr>
            </w:pPr>
            <w:r>
              <w:rPr>
                <w:sz w:val="18"/>
                <w:szCs w:val="18"/>
              </w:rPr>
              <w:t>4.</w:t>
            </w:r>
            <w:r>
              <w:rPr>
                <w:rFonts w:hint="eastAsia"/>
                <w:sz w:val="18"/>
                <w:szCs w:val="18"/>
              </w:rPr>
              <w:t>具备安全产品使用经验，如态势感知、防火墙、EDR、WAF、日志审计等常见安全设备运维及排错能力、具备独立的日志分析、安全设备运营维护能力</w:t>
            </w:r>
            <w:r>
              <w:rPr>
                <w:sz w:val="18"/>
                <w:szCs w:val="18"/>
              </w:rPr>
              <w:t>。</w:t>
            </w:r>
          </w:p>
          <w:p w14:paraId="48E51891">
            <w:pPr>
              <w:tabs>
                <w:tab w:val="left" w:pos="312"/>
              </w:tabs>
              <w:ind w:firstLine="0" w:firstLineChars="0"/>
              <w:jc w:val="left"/>
              <w:rPr>
                <w:sz w:val="18"/>
                <w:szCs w:val="18"/>
              </w:rPr>
            </w:pPr>
            <w:r>
              <w:rPr>
                <w:sz w:val="18"/>
                <w:szCs w:val="18"/>
              </w:rPr>
              <w:t>5.驻场工程师每</w:t>
            </w:r>
            <w:r>
              <w:rPr>
                <w:rFonts w:hint="eastAsia"/>
                <w:sz w:val="18"/>
                <w:szCs w:val="18"/>
              </w:rPr>
              <w:t>日</w:t>
            </w:r>
            <w:r>
              <w:rPr>
                <w:sz w:val="18"/>
                <w:szCs w:val="18"/>
              </w:rPr>
              <w:t>对医院安全设备</w:t>
            </w:r>
            <w:r>
              <w:rPr>
                <w:rFonts w:hint="eastAsia"/>
                <w:sz w:val="18"/>
                <w:szCs w:val="18"/>
              </w:rPr>
              <w:t>进行安全日志巡检、包括但不限于服务器EDR杀毒日志、终端杀毒日志分析处理并进行加固。</w:t>
            </w:r>
          </w:p>
          <w:p w14:paraId="17EC4121">
            <w:pPr>
              <w:tabs>
                <w:tab w:val="left" w:pos="312"/>
              </w:tabs>
              <w:ind w:firstLine="0" w:firstLineChars="0"/>
              <w:jc w:val="left"/>
              <w:rPr>
                <w:sz w:val="18"/>
                <w:szCs w:val="18"/>
              </w:rPr>
            </w:pPr>
            <w:r>
              <w:rPr>
                <w:sz w:val="18"/>
                <w:szCs w:val="18"/>
              </w:rPr>
              <w:t>6.</w:t>
            </w:r>
            <w:r>
              <w:rPr>
                <w:rFonts w:hint="eastAsia"/>
                <w:sz w:val="18"/>
                <w:szCs w:val="18"/>
              </w:rPr>
              <w:t>每日根据医院威胁安全事件进行汇总报告。</w:t>
            </w:r>
          </w:p>
          <w:p w14:paraId="5D8B4948">
            <w:pPr>
              <w:tabs>
                <w:tab w:val="left" w:pos="312"/>
              </w:tabs>
              <w:ind w:firstLine="0" w:firstLineChars="0"/>
              <w:jc w:val="left"/>
              <w:rPr>
                <w:sz w:val="18"/>
                <w:szCs w:val="18"/>
              </w:rPr>
            </w:pPr>
            <w:r>
              <w:rPr>
                <w:sz w:val="18"/>
                <w:szCs w:val="18"/>
              </w:rPr>
              <w:t>7.</w:t>
            </w:r>
            <w:r>
              <w:rPr>
                <w:rFonts w:hint="eastAsia"/>
                <w:sz w:val="18"/>
                <w:szCs w:val="18"/>
              </w:rPr>
              <w:t>每周备份安全设备配置备份并定期进行密码修改。</w:t>
            </w:r>
          </w:p>
        </w:tc>
        <w:tc>
          <w:tcPr>
            <w:tcW w:w="807" w:type="pct"/>
            <w:vAlign w:val="center"/>
          </w:tcPr>
          <w:p w14:paraId="43873522">
            <w:pPr>
              <w:ind w:firstLine="0" w:firstLineChars="0"/>
              <w:jc w:val="both"/>
              <w:rPr>
                <w:sz w:val="18"/>
                <w:szCs w:val="18"/>
              </w:rPr>
            </w:pPr>
            <w:r>
              <w:rPr>
                <w:rFonts w:hint="eastAsia"/>
                <w:sz w:val="18"/>
                <w:szCs w:val="18"/>
              </w:rPr>
              <w:t>一年</w:t>
            </w:r>
          </w:p>
        </w:tc>
      </w:tr>
      <w:tr w14:paraId="7018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continue"/>
            <w:vAlign w:val="center"/>
          </w:tcPr>
          <w:p w14:paraId="7E08025F">
            <w:pPr>
              <w:ind w:firstLine="360"/>
              <w:jc w:val="center"/>
              <w:rPr>
                <w:sz w:val="18"/>
                <w:szCs w:val="18"/>
              </w:rPr>
            </w:pPr>
          </w:p>
        </w:tc>
        <w:tc>
          <w:tcPr>
            <w:tcW w:w="936" w:type="pct"/>
            <w:vAlign w:val="center"/>
          </w:tcPr>
          <w:p w14:paraId="1450016F">
            <w:pPr>
              <w:ind w:firstLine="0" w:firstLineChars="0"/>
              <w:jc w:val="both"/>
              <w:rPr>
                <w:sz w:val="18"/>
                <w:szCs w:val="18"/>
              </w:rPr>
            </w:pPr>
            <w:r>
              <w:rPr>
                <w:rFonts w:hint="eastAsia"/>
                <w:sz w:val="18"/>
                <w:szCs w:val="18"/>
              </w:rPr>
              <w:t>基线核查</w:t>
            </w:r>
          </w:p>
        </w:tc>
        <w:tc>
          <w:tcPr>
            <w:tcW w:w="2611" w:type="pct"/>
          </w:tcPr>
          <w:p w14:paraId="5C53A9A8">
            <w:pPr>
              <w:ind w:firstLine="360"/>
              <w:jc w:val="left"/>
              <w:rPr>
                <w:sz w:val="18"/>
                <w:szCs w:val="18"/>
              </w:rPr>
            </w:pPr>
            <w:r>
              <w:rPr>
                <w:sz w:val="18"/>
                <w:szCs w:val="18"/>
              </w:rPr>
              <w:t>根据《网络安全技术 网络安全等级保护基本要求》（GB/T 22239-2019）的标准要求，结合肿瘤医院的实际情况，在不对网络和系统产生影响的情况下采用人工检测、工具核查等方式对医院的主机设备、网络设备、安全设备、数据库、中间件等设备和系统开展例行的安全配置基线核查。</w:t>
            </w:r>
          </w:p>
        </w:tc>
        <w:tc>
          <w:tcPr>
            <w:tcW w:w="807" w:type="pct"/>
            <w:vAlign w:val="center"/>
          </w:tcPr>
          <w:p w14:paraId="78F1D22B">
            <w:pPr>
              <w:ind w:firstLine="0" w:firstLineChars="0"/>
              <w:jc w:val="both"/>
              <w:rPr>
                <w:sz w:val="18"/>
                <w:szCs w:val="18"/>
              </w:rPr>
            </w:pPr>
            <w:r>
              <w:rPr>
                <w:rFonts w:hint="eastAsia"/>
                <w:sz w:val="18"/>
                <w:szCs w:val="18"/>
              </w:rPr>
              <w:t>1次/年</w:t>
            </w:r>
          </w:p>
        </w:tc>
      </w:tr>
      <w:tr w14:paraId="55E3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continue"/>
            <w:vAlign w:val="center"/>
          </w:tcPr>
          <w:p w14:paraId="7D13200A">
            <w:pPr>
              <w:ind w:firstLine="360"/>
              <w:jc w:val="center"/>
              <w:rPr>
                <w:sz w:val="18"/>
                <w:szCs w:val="18"/>
              </w:rPr>
            </w:pPr>
          </w:p>
        </w:tc>
        <w:tc>
          <w:tcPr>
            <w:tcW w:w="936" w:type="pct"/>
            <w:vAlign w:val="center"/>
          </w:tcPr>
          <w:p w14:paraId="61C12647">
            <w:pPr>
              <w:ind w:firstLine="0" w:firstLineChars="0"/>
              <w:jc w:val="both"/>
              <w:rPr>
                <w:sz w:val="18"/>
                <w:szCs w:val="18"/>
              </w:rPr>
            </w:pPr>
            <w:r>
              <w:rPr>
                <w:rFonts w:hint="eastAsia"/>
                <w:sz w:val="18"/>
                <w:szCs w:val="18"/>
              </w:rPr>
              <w:t>漏洞扫描</w:t>
            </w:r>
          </w:p>
        </w:tc>
        <w:tc>
          <w:tcPr>
            <w:tcW w:w="2611" w:type="pct"/>
          </w:tcPr>
          <w:p w14:paraId="49E65B5E">
            <w:pPr>
              <w:ind w:firstLine="360"/>
              <w:jc w:val="left"/>
              <w:rPr>
                <w:sz w:val="18"/>
                <w:szCs w:val="18"/>
              </w:rPr>
            </w:pPr>
            <w:r>
              <w:rPr>
                <w:sz w:val="18"/>
                <w:szCs w:val="18"/>
              </w:rPr>
              <w:t>结合医院的实际情况，采用多套自动化的检测工具，针对医院所有相关信息系统使用的主机、终端、数据库系统、网络设备、安全设备、系统应用以及弱口令等进行漏洞扫描，如存在中高危漏洞则通知相关部门进行漏洞修复，并进行复测，出具漏扫和复测报告。</w:t>
            </w:r>
          </w:p>
        </w:tc>
        <w:tc>
          <w:tcPr>
            <w:tcW w:w="807" w:type="pct"/>
            <w:vAlign w:val="center"/>
          </w:tcPr>
          <w:p w14:paraId="6F1D661B">
            <w:pPr>
              <w:ind w:firstLine="0" w:firstLineChars="0"/>
              <w:jc w:val="both"/>
              <w:rPr>
                <w:sz w:val="18"/>
                <w:szCs w:val="18"/>
              </w:rPr>
            </w:pPr>
            <w:r>
              <w:rPr>
                <w:rFonts w:hint="eastAsia"/>
                <w:sz w:val="18"/>
                <w:szCs w:val="18"/>
              </w:rPr>
              <w:t>日常工作</w:t>
            </w:r>
          </w:p>
        </w:tc>
      </w:tr>
      <w:tr w14:paraId="34AE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continue"/>
            <w:vAlign w:val="center"/>
          </w:tcPr>
          <w:p w14:paraId="02F6E773">
            <w:pPr>
              <w:ind w:firstLine="360"/>
              <w:jc w:val="center"/>
              <w:rPr>
                <w:sz w:val="18"/>
                <w:szCs w:val="18"/>
              </w:rPr>
            </w:pPr>
          </w:p>
        </w:tc>
        <w:tc>
          <w:tcPr>
            <w:tcW w:w="936" w:type="pct"/>
            <w:vAlign w:val="center"/>
          </w:tcPr>
          <w:p w14:paraId="5519D455">
            <w:pPr>
              <w:ind w:firstLine="0" w:firstLineChars="0"/>
              <w:jc w:val="both"/>
              <w:rPr>
                <w:sz w:val="18"/>
                <w:szCs w:val="18"/>
              </w:rPr>
            </w:pPr>
            <w:r>
              <w:rPr>
                <w:rFonts w:hint="eastAsia"/>
                <w:sz w:val="18"/>
                <w:szCs w:val="18"/>
              </w:rPr>
              <w:t>资产梳理</w:t>
            </w:r>
          </w:p>
        </w:tc>
        <w:tc>
          <w:tcPr>
            <w:tcW w:w="2611" w:type="pct"/>
          </w:tcPr>
          <w:p w14:paraId="5AF3AB81">
            <w:pPr>
              <w:ind w:firstLine="360"/>
              <w:jc w:val="left"/>
              <w:rPr>
                <w:sz w:val="18"/>
                <w:szCs w:val="18"/>
              </w:rPr>
            </w:pPr>
            <w:r>
              <w:rPr>
                <w:rFonts w:hint="eastAsia"/>
                <w:sz w:val="18"/>
                <w:szCs w:val="18"/>
              </w:rPr>
              <w:t>针对医院所有生产系统及网络设备、安全设备、终端和移动终端，应用系统、存储，利用工具扫描资产，建立台账；颗粒度为IP地址、MAC地址、服务器版本、操作系统版本、中间件版本、网络设备型号、安全设备型号、安全设备规则库版本、数据库版本、系统开发使用的开源架构、打印机版本、个人生产运维终端版本、移动终端型号版本等。</w:t>
            </w:r>
          </w:p>
        </w:tc>
        <w:tc>
          <w:tcPr>
            <w:tcW w:w="807" w:type="pct"/>
            <w:vAlign w:val="center"/>
          </w:tcPr>
          <w:p w14:paraId="20A9FF26">
            <w:pPr>
              <w:ind w:firstLine="0" w:firstLineChars="0"/>
              <w:jc w:val="both"/>
              <w:rPr>
                <w:sz w:val="18"/>
                <w:szCs w:val="18"/>
              </w:rPr>
            </w:pPr>
            <w:r>
              <w:rPr>
                <w:rFonts w:hint="eastAsia"/>
                <w:sz w:val="18"/>
                <w:szCs w:val="18"/>
              </w:rPr>
              <w:t>日常工作</w:t>
            </w:r>
          </w:p>
        </w:tc>
      </w:tr>
      <w:tr w14:paraId="12D7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continue"/>
            <w:vAlign w:val="center"/>
          </w:tcPr>
          <w:p w14:paraId="18B647D3">
            <w:pPr>
              <w:ind w:firstLine="360"/>
              <w:jc w:val="center"/>
              <w:rPr>
                <w:sz w:val="18"/>
                <w:szCs w:val="18"/>
              </w:rPr>
            </w:pPr>
          </w:p>
        </w:tc>
        <w:tc>
          <w:tcPr>
            <w:tcW w:w="936" w:type="pct"/>
            <w:vAlign w:val="center"/>
          </w:tcPr>
          <w:p w14:paraId="23EE22AD">
            <w:pPr>
              <w:ind w:firstLine="0" w:firstLineChars="0"/>
              <w:jc w:val="both"/>
              <w:rPr>
                <w:sz w:val="18"/>
                <w:szCs w:val="18"/>
              </w:rPr>
            </w:pPr>
            <w:r>
              <w:rPr>
                <w:rFonts w:hint="eastAsia"/>
                <w:sz w:val="18"/>
                <w:szCs w:val="18"/>
              </w:rPr>
              <w:t>漏洞评估</w:t>
            </w:r>
          </w:p>
        </w:tc>
        <w:tc>
          <w:tcPr>
            <w:tcW w:w="2611" w:type="pct"/>
          </w:tcPr>
          <w:p w14:paraId="01B50318">
            <w:pPr>
              <w:ind w:firstLine="360"/>
              <w:jc w:val="left"/>
              <w:rPr>
                <w:sz w:val="18"/>
                <w:szCs w:val="18"/>
              </w:rPr>
            </w:pPr>
            <w:r>
              <w:rPr>
                <w:sz w:val="18"/>
                <w:szCs w:val="18"/>
              </w:rPr>
              <w:t>对所有的扫描漏洞、公开披露漏洞、紧急发现漏洞等，出具相关评估，划分漏洞整改等级和必要性以及整改对系统和设备的影响。列出计划表，规定整改时限</w:t>
            </w:r>
            <w:r>
              <w:rPr>
                <w:rFonts w:hint="eastAsia"/>
                <w:sz w:val="18"/>
                <w:szCs w:val="18"/>
              </w:rPr>
              <w:t>。</w:t>
            </w:r>
          </w:p>
        </w:tc>
        <w:tc>
          <w:tcPr>
            <w:tcW w:w="807" w:type="pct"/>
            <w:vAlign w:val="center"/>
          </w:tcPr>
          <w:p w14:paraId="184464B2">
            <w:pPr>
              <w:ind w:firstLine="0" w:firstLineChars="0"/>
              <w:jc w:val="both"/>
              <w:rPr>
                <w:sz w:val="18"/>
                <w:szCs w:val="18"/>
              </w:rPr>
            </w:pPr>
            <w:r>
              <w:rPr>
                <w:rFonts w:hint="eastAsia"/>
                <w:sz w:val="18"/>
                <w:szCs w:val="18"/>
              </w:rPr>
              <w:t>日常工作</w:t>
            </w:r>
          </w:p>
        </w:tc>
      </w:tr>
      <w:tr w14:paraId="7ADB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continue"/>
            <w:vAlign w:val="center"/>
          </w:tcPr>
          <w:p w14:paraId="7A90B5F2">
            <w:pPr>
              <w:ind w:firstLine="360"/>
              <w:jc w:val="center"/>
              <w:rPr>
                <w:sz w:val="18"/>
                <w:szCs w:val="18"/>
              </w:rPr>
            </w:pPr>
          </w:p>
        </w:tc>
        <w:tc>
          <w:tcPr>
            <w:tcW w:w="936" w:type="pct"/>
            <w:vAlign w:val="center"/>
          </w:tcPr>
          <w:p w14:paraId="1CA0F7EE">
            <w:pPr>
              <w:ind w:firstLine="0" w:firstLineChars="0"/>
              <w:jc w:val="both"/>
              <w:rPr>
                <w:sz w:val="18"/>
                <w:szCs w:val="18"/>
              </w:rPr>
            </w:pPr>
            <w:r>
              <w:rPr>
                <w:rFonts w:hint="eastAsia"/>
                <w:sz w:val="18"/>
                <w:szCs w:val="18"/>
              </w:rPr>
              <w:t>“重保”专项保障</w:t>
            </w:r>
          </w:p>
        </w:tc>
        <w:tc>
          <w:tcPr>
            <w:tcW w:w="2611" w:type="pct"/>
          </w:tcPr>
          <w:p w14:paraId="66543868">
            <w:pPr>
              <w:ind w:firstLine="360"/>
              <w:jc w:val="left"/>
              <w:rPr>
                <w:sz w:val="18"/>
                <w:szCs w:val="18"/>
              </w:rPr>
            </w:pPr>
            <w:r>
              <w:rPr>
                <w:sz w:val="18"/>
                <w:szCs w:val="18"/>
              </w:rPr>
              <w:t>在重要节日、重大活动、护网行动等重保时期，加强驻场和人力保障，做好网络与数据安全隐患排查、安全防护、预警监测等安全保障技术支撑服务，</w:t>
            </w:r>
            <w:r>
              <w:rPr>
                <w:rFonts w:hint="eastAsia"/>
                <w:sz w:val="18"/>
                <w:szCs w:val="18"/>
              </w:rPr>
              <w:t>必要时增派2-3人。</w:t>
            </w:r>
            <w:r>
              <w:rPr>
                <w:sz w:val="18"/>
                <w:szCs w:val="18"/>
              </w:rPr>
              <w:t>确保肿瘤医院业务系统安全运行，避免敏感事件或影响业务的安全事件发生。</w:t>
            </w:r>
          </w:p>
        </w:tc>
        <w:tc>
          <w:tcPr>
            <w:tcW w:w="807" w:type="pct"/>
            <w:vAlign w:val="center"/>
          </w:tcPr>
          <w:p w14:paraId="4804CA8B">
            <w:pPr>
              <w:ind w:firstLine="0" w:firstLineChars="0"/>
              <w:jc w:val="both"/>
              <w:rPr>
                <w:sz w:val="18"/>
                <w:szCs w:val="18"/>
              </w:rPr>
            </w:pPr>
            <w:r>
              <w:rPr>
                <w:rFonts w:hint="eastAsia"/>
                <w:sz w:val="18"/>
                <w:szCs w:val="18"/>
              </w:rPr>
              <w:t>日常工作</w:t>
            </w:r>
          </w:p>
        </w:tc>
      </w:tr>
      <w:tr w14:paraId="403F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restart"/>
            <w:vAlign w:val="center"/>
          </w:tcPr>
          <w:p w14:paraId="4050CD73">
            <w:pPr>
              <w:ind w:firstLine="0" w:firstLineChars="0"/>
              <w:jc w:val="both"/>
              <w:rPr>
                <w:sz w:val="18"/>
                <w:szCs w:val="18"/>
              </w:rPr>
            </w:pPr>
            <w:r>
              <w:rPr>
                <w:sz w:val="18"/>
                <w:szCs w:val="18"/>
              </w:rPr>
              <w:t>安全运营</w:t>
            </w:r>
          </w:p>
        </w:tc>
        <w:tc>
          <w:tcPr>
            <w:tcW w:w="936" w:type="pct"/>
            <w:vAlign w:val="center"/>
          </w:tcPr>
          <w:p w14:paraId="76E6919C">
            <w:pPr>
              <w:ind w:firstLine="0" w:firstLineChars="0"/>
              <w:jc w:val="both"/>
              <w:rPr>
                <w:sz w:val="18"/>
                <w:szCs w:val="18"/>
              </w:rPr>
            </w:pPr>
            <w:r>
              <w:rPr>
                <w:rFonts w:hint="eastAsia"/>
                <w:sz w:val="18"/>
                <w:szCs w:val="18"/>
              </w:rPr>
              <w:t>远程运营服务</w:t>
            </w:r>
          </w:p>
        </w:tc>
        <w:tc>
          <w:tcPr>
            <w:tcW w:w="2611" w:type="pct"/>
          </w:tcPr>
          <w:p w14:paraId="09B0A6E7">
            <w:pPr>
              <w:ind w:firstLine="360"/>
              <w:jc w:val="left"/>
              <w:rPr>
                <w:sz w:val="18"/>
                <w:szCs w:val="18"/>
              </w:rPr>
            </w:pPr>
            <w:r>
              <w:rPr>
                <w:sz w:val="18"/>
                <w:szCs w:val="18"/>
              </w:rPr>
              <w:t>结合医院安全的网络安全工作需求，组织安全运营专业团队，遵循标准化的流程开展日常安全运营工作，利用服务方所提供的安全运营工具，通过暴露面监测、资产管理、7*24小时的威胁分析、应急响应等服务方式保障医院业务安全，快速响应主机、网络、应用、数据等安全产品的各类安全风险事件，</w:t>
            </w:r>
            <w:r>
              <w:rPr>
                <w:rFonts w:hint="eastAsia"/>
                <w:sz w:val="18"/>
                <w:szCs w:val="18"/>
              </w:rPr>
              <w:t>支持</w:t>
            </w:r>
            <w:r>
              <w:rPr>
                <w:sz w:val="18"/>
                <w:szCs w:val="18"/>
              </w:rPr>
              <w:t>通过技术手段进行自动分类和高效处置安全事件，并针对肿瘤医院的业务资产进行持续风险监视和泄露监控等，同时提供应急值守团队进行入侵事件分析及应急保障，提升医院整体网络安全运营效率。服务过程中若发生网络安全事件，服务专家需主动协助医院安全负责人对风险进行管理和控制，通过分析、溯源、处置等操作实现事件应急闭环处置，全方位保障医院业务运行安全。收集监控设备日志，对元数据进行分析，精确研判攻击和风险，加强驻点运维职能。</w:t>
            </w:r>
          </w:p>
          <w:p w14:paraId="6C205083">
            <w:pPr>
              <w:ind w:firstLine="360"/>
              <w:jc w:val="both"/>
              <w:rPr>
                <w:sz w:val="18"/>
                <w:szCs w:val="18"/>
              </w:rPr>
            </w:pPr>
            <w:r>
              <w:rPr>
                <w:rFonts w:hint="eastAsia"/>
                <w:sz w:val="18"/>
                <w:szCs w:val="18"/>
              </w:rPr>
              <w:t>服务应结合原有平台对威胁分析发现的攻陷(含疑似攻陷)事件、重点攻击事件，提供有效的处置建议，并结合自动编排与响应(SOAR)、一键封堵、策略调优、人工封禁处置等措施协助安全事件闭环处置；（提供产品界面截图并加盖原厂公章）</w:t>
            </w:r>
          </w:p>
          <w:p w14:paraId="066D0FE7">
            <w:pPr>
              <w:ind w:firstLine="270" w:firstLineChars="150"/>
              <w:jc w:val="both"/>
              <w:rPr>
                <w:sz w:val="18"/>
                <w:szCs w:val="18"/>
              </w:rPr>
            </w:pPr>
            <w:r>
              <w:rPr>
                <w:rFonts w:hint="eastAsia"/>
                <w:sz w:val="18"/>
                <w:szCs w:val="18"/>
              </w:rPr>
              <w:t>服务应结合原有平台，编写自动化编排脚本，实现云地协同响应，提升威胁事件检测与处置效率；（提供产品界面截图并加盖原厂公章）</w:t>
            </w:r>
          </w:p>
        </w:tc>
        <w:tc>
          <w:tcPr>
            <w:tcW w:w="807" w:type="pct"/>
            <w:vAlign w:val="center"/>
          </w:tcPr>
          <w:p w14:paraId="2107B88F">
            <w:pPr>
              <w:ind w:firstLine="0" w:firstLineChars="0"/>
              <w:jc w:val="both"/>
              <w:rPr>
                <w:sz w:val="18"/>
                <w:szCs w:val="18"/>
              </w:rPr>
            </w:pPr>
            <w:r>
              <w:rPr>
                <w:rFonts w:hint="eastAsia"/>
                <w:sz w:val="18"/>
                <w:szCs w:val="18"/>
              </w:rPr>
              <w:t>一年</w:t>
            </w:r>
          </w:p>
        </w:tc>
      </w:tr>
      <w:tr w14:paraId="0101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continue"/>
            <w:vAlign w:val="center"/>
          </w:tcPr>
          <w:p w14:paraId="71D1F672">
            <w:pPr>
              <w:ind w:firstLine="360"/>
              <w:jc w:val="center"/>
              <w:rPr>
                <w:sz w:val="18"/>
                <w:szCs w:val="18"/>
              </w:rPr>
            </w:pPr>
          </w:p>
        </w:tc>
        <w:tc>
          <w:tcPr>
            <w:tcW w:w="936" w:type="pct"/>
            <w:vAlign w:val="center"/>
          </w:tcPr>
          <w:p w14:paraId="578B5BDA">
            <w:pPr>
              <w:ind w:firstLine="0" w:firstLineChars="0"/>
              <w:jc w:val="both"/>
              <w:rPr>
                <w:sz w:val="18"/>
                <w:szCs w:val="18"/>
              </w:rPr>
            </w:pPr>
            <w:r>
              <w:rPr>
                <w:rFonts w:hint="eastAsia"/>
                <w:sz w:val="18"/>
                <w:szCs w:val="18"/>
              </w:rPr>
              <w:t>安全通告服务</w:t>
            </w:r>
          </w:p>
        </w:tc>
        <w:tc>
          <w:tcPr>
            <w:tcW w:w="2611" w:type="pct"/>
          </w:tcPr>
          <w:p w14:paraId="184FA74B">
            <w:pPr>
              <w:ind w:firstLine="360"/>
              <w:jc w:val="left"/>
              <w:rPr>
                <w:sz w:val="18"/>
                <w:szCs w:val="18"/>
              </w:rPr>
            </w:pPr>
            <w:r>
              <w:rPr>
                <w:sz w:val="18"/>
                <w:szCs w:val="18"/>
              </w:rPr>
              <w:t>利用最新漏洞研究，通过多种方式（电话、邮件、短信等）及时对互联网爆发的新型漏洞进行预警，对重大安全事件进行通告，协助肿瘤医院及时了解最新外部安全环境和最新的漏洞信息，及时规避新安全漏洞带来的风险。</w:t>
            </w:r>
          </w:p>
        </w:tc>
        <w:tc>
          <w:tcPr>
            <w:tcW w:w="807" w:type="pct"/>
            <w:vAlign w:val="center"/>
          </w:tcPr>
          <w:p w14:paraId="42D1ADB4">
            <w:pPr>
              <w:ind w:firstLine="0" w:firstLineChars="0"/>
              <w:jc w:val="both"/>
              <w:rPr>
                <w:sz w:val="18"/>
                <w:szCs w:val="18"/>
              </w:rPr>
            </w:pPr>
            <w:r>
              <w:rPr>
                <w:rFonts w:hint="eastAsia"/>
                <w:sz w:val="18"/>
                <w:szCs w:val="18"/>
              </w:rPr>
              <w:t>一年</w:t>
            </w:r>
          </w:p>
        </w:tc>
      </w:tr>
      <w:tr w14:paraId="5C70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continue"/>
            <w:vAlign w:val="center"/>
          </w:tcPr>
          <w:p w14:paraId="3A69ABE3">
            <w:pPr>
              <w:ind w:firstLine="360"/>
              <w:jc w:val="center"/>
              <w:rPr>
                <w:sz w:val="18"/>
                <w:szCs w:val="18"/>
              </w:rPr>
            </w:pPr>
          </w:p>
        </w:tc>
        <w:tc>
          <w:tcPr>
            <w:tcW w:w="936" w:type="pct"/>
            <w:vAlign w:val="center"/>
          </w:tcPr>
          <w:p w14:paraId="02F3FEE2">
            <w:pPr>
              <w:ind w:firstLine="0" w:firstLineChars="0"/>
              <w:jc w:val="both"/>
              <w:rPr>
                <w:sz w:val="18"/>
                <w:szCs w:val="18"/>
              </w:rPr>
            </w:pPr>
            <w:r>
              <w:rPr>
                <w:rFonts w:hint="eastAsia"/>
                <w:sz w:val="18"/>
                <w:szCs w:val="18"/>
              </w:rPr>
              <w:t>应急演练</w:t>
            </w:r>
          </w:p>
        </w:tc>
        <w:tc>
          <w:tcPr>
            <w:tcW w:w="2611" w:type="pct"/>
          </w:tcPr>
          <w:p w14:paraId="6585D3C1">
            <w:pPr>
              <w:ind w:firstLine="360"/>
              <w:jc w:val="left"/>
              <w:rPr>
                <w:sz w:val="18"/>
                <w:szCs w:val="18"/>
              </w:rPr>
            </w:pPr>
            <w:r>
              <w:rPr>
                <w:sz w:val="18"/>
                <w:szCs w:val="18"/>
              </w:rPr>
              <w:t>根据实际情况，为医院提供应急预案编写，结合应急预案，制定详细的年度综合性网络与网络安全应急演练方案，并协助开展应急演练，应急演练前，组织全体参演人员学习演练脚本并解说注意事项，通过应急演练加强安全应急预案的可执行性</w:t>
            </w:r>
            <w:r>
              <w:rPr>
                <w:rFonts w:hint="eastAsia"/>
                <w:sz w:val="18"/>
                <w:szCs w:val="18"/>
              </w:rPr>
              <w:t>。</w:t>
            </w:r>
          </w:p>
        </w:tc>
        <w:tc>
          <w:tcPr>
            <w:tcW w:w="807" w:type="pct"/>
            <w:vAlign w:val="center"/>
          </w:tcPr>
          <w:p w14:paraId="1F7812A9">
            <w:pPr>
              <w:ind w:firstLine="0" w:firstLineChars="0"/>
              <w:jc w:val="both"/>
              <w:rPr>
                <w:sz w:val="18"/>
                <w:szCs w:val="18"/>
              </w:rPr>
            </w:pPr>
            <w:r>
              <w:rPr>
                <w:rFonts w:hint="eastAsia"/>
                <w:sz w:val="18"/>
                <w:szCs w:val="18"/>
              </w:rPr>
              <w:t>1次/年</w:t>
            </w:r>
          </w:p>
        </w:tc>
      </w:tr>
      <w:tr w14:paraId="4037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continue"/>
            <w:vAlign w:val="center"/>
          </w:tcPr>
          <w:p w14:paraId="653BEF24">
            <w:pPr>
              <w:ind w:firstLine="360"/>
              <w:jc w:val="center"/>
              <w:rPr>
                <w:sz w:val="18"/>
                <w:szCs w:val="18"/>
              </w:rPr>
            </w:pPr>
          </w:p>
        </w:tc>
        <w:tc>
          <w:tcPr>
            <w:tcW w:w="936" w:type="pct"/>
            <w:vAlign w:val="center"/>
          </w:tcPr>
          <w:p w14:paraId="32B1541B">
            <w:pPr>
              <w:ind w:firstLine="0" w:firstLineChars="0"/>
              <w:jc w:val="both"/>
              <w:rPr>
                <w:sz w:val="18"/>
                <w:szCs w:val="18"/>
              </w:rPr>
            </w:pPr>
            <w:r>
              <w:rPr>
                <w:rFonts w:hint="eastAsia"/>
                <w:sz w:val="18"/>
                <w:szCs w:val="18"/>
              </w:rPr>
              <w:t>应急响应</w:t>
            </w:r>
          </w:p>
        </w:tc>
        <w:tc>
          <w:tcPr>
            <w:tcW w:w="2611" w:type="pct"/>
          </w:tcPr>
          <w:p w14:paraId="57F451BF">
            <w:pPr>
              <w:ind w:firstLine="360"/>
              <w:jc w:val="left"/>
              <w:rPr>
                <w:sz w:val="18"/>
                <w:szCs w:val="18"/>
              </w:rPr>
            </w:pPr>
            <w:r>
              <w:rPr>
                <w:sz w:val="18"/>
                <w:szCs w:val="18"/>
              </w:rPr>
              <w:t>根据医院实际情况，提供信息安全应急响应工作，包括应急预案、事件处置及问题修复、报告输出。提供为期一年的365×7×24小时重大安全事件的应急响应工作，半小时以内响应，通过电话、电子邮件、或通过远程控制等方式提供非现场技术支持服务。重大安全事件4小时内到现场，应急响应主要针对突发的网站安全故障、网络安全事件、应用系统安全事件、主机安全事件、黑客攻击事件等进行诊断、分析并协助解决。在网络或安全设备发生故障之后，评估网络环境、配置、状况、备份等因素，判断是否可以进行修复。在做好数据的备份、现场的记录之后，对配置进行紧急修复，尽可能的减少故障时间。</w:t>
            </w:r>
          </w:p>
        </w:tc>
        <w:tc>
          <w:tcPr>
            <w:tcW w:w="807" w:type="pct"/>
            <w:vAlign w:val="center"/>
          </w:tcPr>
          <w:p w14:paraId="7DD71B16">
            <w:pPr>
              <w:ind w:firstLine="0" w:firstLineChars="0"/>
              <w:jc w:val="both"/>
              <w:rPr>
                <w:sz w:val="18"/>
                <w:szCs w:val="18"/>
              </w:rPr>
            </w:pPr>
            <w:r>
              <w:rPr>
                <w:rFonts w:hint="eastAsia"/>
                <w:sz w:val="18"/>
                <w:szCs w:val="18"/>
              </w:rPr>
              <w:t>一年</w:t>
            </w:r>
          </w:p>
        </w:tc>
      </w:tr>
      <w:tr w14:paraId="7779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Align w:val="center"/>
          </w:tcPr>
          <w:p w14:paraId="1AB3FA97">
            <w:pPr>
              <w:ind w:firstLine="360"/>
              <w:jc w:val="center"/>
              <w:rPr>
                <w:sz w:val="18"/>
                <w:szCs w:val="18"/>
              </w:rPr>
            </w:pPr>
            <w:r>
              <w:rPr>
                <w:rFonts w:hint="eastAsia"/>
                <w:sz w:val="18"/>
                <w:szCs w:val="18"/>
              </w:rPr>
              <w:t>其他</w:t>
            </w:r>
          </w:p>
        </w:tc>
        <w:tc>
          <w:tcPr>
            <w:tcW w:w="936" w:type="pct"/>
            <w:vAlign w:val="center"/>
          </w:tcPr>
          <w:p w14:paraId="05A12C67">
            <w:pPr>
              <w:ind w:firstLine="0" w:firstLineChars="0"/>
              <w:jc w:val="left"/>
              <w:rPr>
                <w:sz w:val="18"/>
                <w:szCs w:val="18"/>
              </w:rPr>
            </w:pPr>
            <w:r>
              <w:rPr>
                <w:rFonts w:hint="eastAsia"/>
                <w:sz w:val="18"/>
                <w:szCs w:val="18"/>
              </w:rPr>
              <w:t>其他</w:t>
            </w:r>
          </w:p>
        </w:tc>
        <w:tc>
          <w:tcPr>
            <w:tcW w:w="2611" w:type="pct"/>
          </w:tcPr>
          <w:p w14:paraId="13313214">
            <w:pPr>
              <w:ind w:firstLine="360"/>
              <w:jc w:val="left"/>
              <w:rPr>
                <w:sz w:val="18"/>
                <w:szCs w:val="18"/>
              </w:rPr>
            </w:pPr>
            <w:r>
              <w:rPr>
                <w:rFonts w:hint="eastAsia"/>
                <w:sz w:val="18"/>
                <w:szCs w:val="18"/>
              </w:rPr>
              <w:t>协助完成其他现场支持类工作。</w:t>
            </w:r>
          </w:p>
        </w:tc>
        <w:tc>
          <w:tcPr>
            <w:tcW w:w="807" w:type="pct"/>
            <w:vAlign w:val="center"/>
          </w:tcPr>
          <w:p w14:paraId="615AE7C1">
            <w:pPr>
              <w:ind w:firstLine="0" w:firstLineChars="0"/>
              <w:jc w:val="both"/>
              <w:rPr>
                <w:sz w:val="18"/>
                <w:szCs w:val="18"/>
              </w:rPr>
            </w:pPr>
            <w:r>
              <w:rPr>
                <w:rFonts w:hint="eastAsia"/>
                <w:sz w:val="18"/>
                <w:szCs w:val="18"/>
              </w:rPr>
              <w:t>全年</w:t>
            </w:r>
          </w:p>
        </w:tc>
      </w:tr>
    </w:tbl>
    <w:p w14:paraId="3BE12B55">
      <w:pPr>
        <w:pStyle w:val="2"/>
        <w:spacing w:before="0" w:after="0" w:line="360" w:lineRule="auto"/>
        <w:ind w:left="0" w:leftChars="0" w:firstLine="0" w:firstLineChars="0"/>
        <w:rPr>
          <w:rFonts w:ascii="宋体" w:hAnsi="宋体" w:cs="宋体"/>
          <w:color w:val="0000FF"/>
          <w:kern w:val="2"/>
          <w:sz w:val="24"/>
          <w:szCs w:val="24"/>
        </w:rPr>
      </w:pPr>
    </w:p>
    <w:p w14:paraId="76D4091D">
      <w:pPr>
        <w:pStyle w:val="2"/>
        <w:spacing w:before="0" w:after="0" w:line="360" w:lineRule="auto"/>
        <w:ind w:firstLine="482"/>
        <w:rPr>
          <w:rFonts w:ascii="宋体" w:hAnsi="宋体" w:cs="宋体"/>
          <w:kern w:val="2"/>
          <w:sz w:val="24"/>
          <w:szCs w:val="24"/>
        </w:rPr>
      </w:pPr>
      <w:r>
        <w:rPr>
          <w:rFonts w:ascii="宋体" w:hAnsi="宋体" w:cs="宋体"/>
          <w:kern w:val="2"/>
          <w:sz w:val="24"/>
          <w:szCs w:val="24"/>
        </w:rPr>
        <w:t>4</w:t>
      </w:r>
      <w:r>
        <w:rPr>
          <w:rFonts w:hint="eastAsia" w:ascii="宋体" w:hAnsi="宋体" w:cs="宋体"/>
          <w:kern w:val="2"/>
          <w:sz w:val="24"/>
          <w:szCs w:val="24"/>
        </w:rPr>
        <w:t>.资质要求</w:t>
      </w:r>
    </w:p>
    <w:p w14:paraId="3F6EA30F">
      <w:pPr>
        <w:ind w:left="320" w:leftChars="100" w:firstLine="480"/>
        <w:rPr>
          <w:sz w:val="24"/>
          <w:szCs w:val="32"/>
        </w:rPr>
      </w:pPr>
      <w:r>
        <w:rPr>
          <w:sz w:val="24"/>
          <w:szCs w:val="32"/>
        </w:rPr>
        <w:t>1. 投标人应具有有效的中国网络安全审查技术与认证中心颁发的信息安全服务资质认证证书(信息系统安全运维)一级资质；</w:t>
      </w:r>
    </w:p>
    <w:p w14:paraId="12724427">
      <w:pPr>
        <w:ind w:left="320" w:leftChars="100" w:firstLine="480"/>
        <w:rPr>
          <w:sz w:val="24"/>
          <w:szCs w:val="32"/>
        </w:rPr>
      </w:pPr>
      <w:r>
        <w:rPr>
          <w:sz w:val="24"/>
          <w:szCs w:val="32"/>
        </w:rPr>
        <w:t>2.</w:t>
      </w:r>
      <w:r>
        <w:rPr>
          <w:rFonts w:hint="eastAsia"/>
          <w:sz w:val="24"/>
          <w:szCs w:val="32"/>
        </w:rPr>
        <w:t xml:space="preserve"> </w:t>
      </w:r>
      <w:r>
        <w:rPr>
          <w:sz w:val="24"/>
          <w:szCs w:val="32"/>
        </w:rPr>
        <w:t>投标人应具有有效的中国网络安全审查技术与认证中心颁发的信息安全服务资质认证证书(信息安全应急处理)一级资质；</w:t>
      </w:r>
    </w:p>
    <w:p w14:paraId="44AD4D81">
      <w:pPr>
        <w:ind w:left="320" w:leftChars="100" w:firstLine="480"/>
        <w:rPr>
          <w:sz w:val="24"/>
          <w:szCs w:val="32"/>
          <w:highlight w:val="yellow"/>
        </w:rPr>
      </w:pPr>
      <w:r>
        <w:rPr>
          <w:rFonts w:hint="eastAsia"/>
          <w:sz w:val="24"/>
          <w:szCs w:val="32"/>
        </w:rPr>
        <w:t>3. 投标人应具有中国信息安全测评中心颁发的信息安全服务资质证书（数据安全类）一级资质；</w:t>
      </w:r>
    </w:p>
    <w:p w14:paraId="478336B0">
      <w:pPr>
        <w:ind w:left="320" w:leftChars="100" w:firstLine="480"/>
        <w:rPr>
          <w:sz w:val="24"/>
          <w:szCs w:val="32"/>
        </w:rPr>
      </w:pPr>
      <w:r>
        <w:rPr>
          <w:rFonts w:hint="eastAsia"/>
          <w:sz w:val="24"/>
          <w:szCs w:val="32"/>
        </w:rPr>
        <w:t>4</w:t>
      </w:r>
      <w:r>
        <w:rPr>
          <w:sz w:val="24"/>
          <w:szCs w:val="32"/>
        </w:rPr>
        <w:t xml:space="preserve">. </w:t>
      </w:r>
      <w:r>
        <w:rPr>
          <w:rFonts w:hint="eastAsia"/>
          <w:sz w:val="24"/>
          <w:szCs w:val="32"/>
        </w:rPr>
        <w:t>有</w:t>
      </w:r>
      <w:r>
        <w:rPr>
          <w:sz w:val="24"/>
          <w:szCs w:val="32"/>
        </w:rPr>
        <w:t>近</w:t>
      </w:r>
      <w:bookmarkStart w:id="7" w:name="_GoBack"/>
      <w:r>
        <w:rPr>
          <w:sz w:val="24"/>
          <w:szCs w:val="32"/>
        </w:rPr>
        <w:t>两年内安全</w:t>
      </w:r>
      <w:r>
        <w:rPr>
          <w:rFonts w:hint="eastAsia"/>
          <w:sz w:val="24"/>
          <w:szCs w:val="32"/>
        </w:rPr>
        <w:t>驻场</w:t>
      </w:r>
      <w:r>
        <w:rPr>
          <w:sz w:val="24"/>
          <w:szCs w:val="32"/>
        </w:rPr>
        <w:t>运维服务</w:t>
      </w:r>
      <w:r>
        <w:rPr>
          <w:rFonts w:hint="eastAsia"/>
          <w:sz w:val="24"/>
          <w:szCs w:val="32"/>
        </w:rPr>
        <w:t>经验；</w:t>
      </w:r>
      <w:bookmarkEnd w:id="7"/>
    </w:p>
    <w:p w14:paraId="4039C969">
      <w:pPr>
        <w:ind w:left="320" w:leftChars="100" w:firstLine="480"/>
        <w:rPr>
          <w:sz w:val="24"/>
          <w:szCs w:val="32"/>
        </w:rPr>
      </w:pPr>
      <w:r>
        <w:rPr>
          <w:rFonts w:hint="eastAsia"/>
          <w:sz w:val="24"/>
          <w:szCs w:val="32"/>
        </w:rPr>
        <w:t>5. 为保证远程运营服务可以顺利对接医院现有的安全运营平台，投标人应获得安全运营平台原厂承诺函；</w:t>
      </w:r>
    </w:p>
    <w:p w14:paraId="0FD5DC33">
      <w:pPr>
        <w:ind w:left="320" w:leftChars="100" w:firstLine="480"/>
        <w:rPr>
          <w:sz w:val="24"/>
          <w:szCs w:val="32"/>
        </w:rPr>
      </w:pPr>
    </w:p>
    <w:p w14:paraId="30A10D36">
      <w:pPr>
        <w:ind w:left="320" w:leftChars="100" w:firstLine="480"/>
        <w:rPr>
          <w:sz w:val="24"/>
          <w:szCs w:val="32"/>
        </w:rPr>
      </w:pPr>
    </w:p>
    <w:p w14:paraId="6FBC4AAB">
      <w:pPr>
        <w:pStyle w:val="2"/>
        <w:spacing w:before="0" w:after="0" w:line="360" w:lineRule="auto"/>
        <w:ind w:firstLine="482"/>
        <w:rPr>
          <w:rFonts w:ascii="宋体" w:hAnsi="宋体" w:cs="宋体"/>
          <w:color w:val="000000"/>
          <w:kern w:val="2"/>
          <w:sz w:val="24"/>
          <w:szCs w:val="24"/>
        </w:rPr>
      </w:pPr>
      <w:r>
        <w:rPr>
          <w:rFonts w:hint="eastAsia" w:ascii="宋体" w:hAnsi="宋体" w:cs="宋体"/>
          <w:color w:val="000000"/>
          <w:kern w:val="2"/>
          <w:sz w:val="24"/>
          <w:szCs w:val="24"/>
        </w:rPr>
        <w:t>5</w:t>
      </w:r>
      <w:r>
        <w:rPr>
          <w:rFonts w:ascii="宋体" w:hAnsi="宋体" w:cs="宋体"/>
          <w:color w:val="000000"/>
          <w:kern w:val="2"/>
          <w:sz w:val="24"/>
          <w:szCs w:val="24"/>
        </w:rPr>
        <w:t>.</w:t>
      </w:r>
      <w:r>
        <w:rPr>
          <w:rFonts w:hint="eastAsia" w:ascii="宋体" w:hAnsi="宋体" w:cs="宋体"/>
          <w:color w:val="000000"/>
          <w:kern w:val="2"/>
          <w:sz w:val="24"/>
          <w:szCs w:val="24"/>
        </w:rPr>
        <w:t>项目实施服务需求</w:t>
      </w:r>
    </w:p>
    <w:p w14:paraId="25896674">
      <w:pPr>
        <w:ind w:firstLine="480"/>
        <w:rPr>
          <w:rFonts w:ascii="宋体" w:hAnsi="宋体" w:cs="宋体"/>
          <w:sz w:val="24"/>
          <w:szCs w:val="24"/>
        </w:rPr>
      </w:pPr>
      <w:r>
        <w:rPr>
          <w:rFonts w:hint="eastAsia" w:ascii="宋体" w:hAnsi="宋体" w:cs="宋体"/>
          <w:sz w:val="24"/>
          <w:szCs w:val="24"/>
        </w:rPr>
        <w:t>投标人需根据项目的采购、技术规格要求，采用满足要求的服务进行投标，服务必须满足项目采购主要技术规格要求，并保证能对选用服务进行很好的实施，如遇所选服务不能满足项目建设要求或项目中存在缺漏项情况，投标人应承担相应损失，投标总报价不做调整。</w:t>
      </w:r>
    </w:p>
    <w:p w14:paraId="232C2C03">
      <w:pPr>
        <w:ind w:firstLine="480"/>
        <w:rPr>
          <w:rFonts w:ascii="宋体" w:hAnsi="宋体" w:cs="宋体"/>
          <w:sz w:val="24"/>
          <w:szCs w:val="24"/>
        </w:rPr>
      </w:pPr>
      <w:r>
        <w:rPr>
          <w:rFonts w:hint="eastAsia" w:ascii="宋体" w:hAnsi="宋体" w:cs="宋体"/>
          <w:sz w:val="24"/>
          <w:szCs w:val="24"/>
        </w:rPr>
        <w:t>投标人需要具有丰富的安全实施团队保证整体项目实施的完整性、安全性、可靠性，保质保量的按时完成。</w:t>
      </w:r>
    </w:p>
    <w:p w14:paraId="71787DAE">
      <w:pPr>
        <w:ind w:firstLine="480"/>
        <w:rPr>
          <w:rFonts w:ascii="宋体" w:hAnsi="宋体" w:cs="宋体"/>
          <w:sz w:val="24"/>
          <w:szCs w:val="24"/>
        </w:rPr>
      </w:pPr>
      <w:r>
        <w:rPr>
          <w:rFonts w:hint="eastAsia" w:ascii="宋体" w:hAnsi="宋体" w:cs="宋体"/>
          <w:sz w:val="24"/>
          <w:szCs w:val="24"/>
        </w:rPr>
        <w:t>投标人须服从中国医学科学院肿瘤医院廊坊院区的统一协调，与本工程的相关单位进行积极主动的合作，在系统规划、方案设计、实施方案设计、系统集成、技术支持、运行维护等方面相互配合。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851"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D6280">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D4CC4">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3DF99">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8A40">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1FB6">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92D68">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kOWE2NjQ1M2UxMjE2YWE4ZTVmNTllNDE5ZDQ2ODkifQ=="/>
  </w:docVars>
  <w:rsids>
    <w:rsidRoot w:val="670E30D2"/>
    <w:rsid w:val="00081C13"/>
    <w:rsid w:val="001E1569"/>
    <w:rsid w:val="001E2E25"/>
    <w:rsid w:val="001F68E3"/>
    <w:rsid w:val="00200FDF"/>
    <w:rsid w:val="00254EEC"/>
    <w:rsid w:val="00261A4A"/>
    <w:rsid w:val="00287CE8"/>
    <w:rsid w:val="002B59DF"/>
    <w:rsid w:val="002D4E7D"/>
    <w:rsid w:val="002F3AFB"/>
    <w:rsid w:val="00360D8B"/>
    <w:rsid w:val="003C7618"/>
    <w:rsid w:val="004106E0"/>
    <w:rsid w:val="004232C6"/>
    <w:rsid w:val="00461C3F"/>
    <w:rsid w:val="00473226"/>
    <w:rsid w:val="004D4C3E"/>
    <w:rsid w:val="004D7AE3"/>
    <w:rsid w:val="00505946"/>
    <w:rsid w:val="005316A7"/>
    <w:rsid w:val="00581AEA"/>
    <w:rsid w:val="006714F1"/>
    <w:rsid w:val="0068750E"/>
    <w:rsid w:val="006B2064"/>
    <w:rsid w:val="00713CEB"/>
    <w:rsid w:val="00723956"/>
    <w:rsid w:val="00787363"/>
    <w:rsid w:val="007A55CF"/>
    <w:rsid w:val="007E6816"/>
    <w:rsid w:val="0080347E"/>
    <w:rsid w:val="0082120E"/>
    <w:rsid w:val="00863F1D"/>
    <w:rsid w:val="008E19FD"/>
    <w:rsid w:val="00961C93"/>
    <w:rsid w:val="00991A29"/>
    <w:rsid w:val="009E5376"/>
    <w:rsid w:val="00A12E60"/>
    <w:rsid w:val="00A13E64"/>
    <w:rsid w:val="00A54F13"/>
    <w:rsid w:val="00A809D3"/>
    <w:rsid w:val="00A91E26"/>
    <w:rsid w:val="00AD58C5"/>
    <w:rsid w:val="00AF4815"/>
    <w:rsid w:val="00B00A34"/>
    <w:rsid w:val="00B11492"/>
    <w:rsid w:val="00B12290"/>
    <w:rsid w:val="00B70D37"/>
    <w:rsid w:val="00BD108D"/>
    <w:rsid w:val="00C05E14"/>
    <w:rsid w:val="00C60845"/>
    <w:rsid w:val="00C60B75"/>
    <w:rsid w:val="00C60B78"/>
    <w:rsid w:val="00CC1EFB"/>
    <w:rsid w:val="00CD6908"/>
    <w:rsid w:val="00E3087F"/>
    <w:rsid w:val="00EA3ED1"/>
    <w:rsid w:val="00EB4B83"/>
    <w:rsid w:val="00EE24A8"/>
    <w:rsid w:val="00EF27E3"/>
    <w:rsid w:val="00F05916"/>
    <w:rsid w:val="00F070E4"/>
    <w:rsid w:val="00F9029C"/>
    <w:rsid w:val="00FF0D00"/>
    <w:rsid w:val="02457B88"/>
    <w:rsid w:val="02526E41"/>
    <w:rsid w:val="03393105"/>
    <w:rsid w:val="04A3117E"/>
    <w:rsid w:val="05414649"/>
    <w:rsid w:val="05653D0D"/>
    <w:rsid w:val="0602515E"/>
    <w:rsid w:val="06ED5AF7"/>
    <w:rsid w:val="07985B7F"/>
    <w:rsid w:val="0AA277E2"/>
    <w:rsid w:val="0B770950"/>
    <w:rsid w:val="0BA94BA0"/>
    <w:rsid w:val="0C5745FC"/>
    <w:rsid w:val="0CDD7393"/>
    <w:rsid w:val="0D523741"/>
    <w:rsid w:val="0E0013EF"/>
    <w:rsid w:val="0E323DD7"/>
    <w:rsid w:val="0E6354DA"/>
    <w:rsid w:val="109776BD"/>
    <w:rsid w:val="10A1053B"/>
    <w:rsid w:val="132D4308"/>
    <w:rsid w:val="13421B62"/>
    <w:rsid w:val="13714EF1"/>
    <w:rsid w:val="14261672"/>
    <w:rsid w:val="142F28B9"/>
    <w:rsid w:val="145E4CD9"/>
    <w:rsid w:val="1565422D"/>
    <w:rsid w:val="166C3565"/>
    <w:rsid w:val="19C232E8"/>
    <w:rsid w:val="1B0B020A"/>
    <w:rsid w:val="1B2A7AAB"/>
    <w:rsid w:val="1BA333BA"/>
    <w:rsid w:val="1DF3687A"/>
    <w:rsid w:val="1EBC4C0D"/>
    <w:rsid w:val="1FAF646C"/>
    <w:rsid w:val="210B41D8"/>
    <w:rsid w:val="21D82B7B"/>
    <w:rsid w:val="22550BDA"/>
    <w:rsid w:val="22A37306"/>
    <w:rsid w:val="22A55C69"/>
    <w:rsid w:val="248B74F2"/>
    <w:rsid w:val="24A80841"/>
    <w:rsid w:val="250273A3"/>
    <w:rsid w:val="252235A1"/>
    <w:rsid w:val="2536704D"/>
    <w:rsid w:val="2580570A"/>
    <w:rsid w:val="26345740"/>
    <w:rsid w:val="268176C7"/>
    <w:rsid w:val="26A34BB6"/>
    <w:rsid w:val="26EA4E26"/>
    <w:rsid w:val="271D04C4"/>
    <w:rsid w:val="27DE2039"/>
    <w:rsid w:val="286A4E74"/>
    <w:rsid w:val="29C235A5"/>
    <w:rsid w:val="2B6606BC"/>
    <w:rsid w:val="2CAD0461"/>
    <w:rsid w:val="2CFC5935"/>
    <w:rsid w:val="2F21303A"/>
    <w:rsid w:val="2F476CAE"/>
    <w:rsid w:val="303605EA"/>
    <w:rsid w:val="30B67293"/>
    <w:rsid w:val="3163566D"/>
    <w:rsid w:val="31AC0DC2"/>
    <w:rsid w:val="31B9703B"/>
    <w:rsid w:val="32052280"/>
    <w:rsid w:val="325F5A23"/>
    <w:rsid w:val="32F80037"/>
    <w:rsid w:val="33707BCD"/>
    <w:rsid w:val="33947D60"/>
    <w:rsid w:val="339E007A"/>
    <w:rsid w:val="35977693"/>
    <w:rsid w:val="36DB65EC"/>
    <w:rsid w:val="376D7696"/>
    <w:rsid w:val="38624A88"/>
    <w:rsid w:val="3BBA40DC"/>
    <w:rsid w:val="3C844B13"/>
    <w:rsid w:val="3D1A3177"/>
    <w:rsid w:val="3D2A5291"/>
    <w:rsid w:val="3E2024A5"/>
    <w:rsid w:val="3FE200A5"/>
    <w:rsid w:val="43884ABF"/>
    <w:rsid w:val="43A71F23"/>
    <w:rsid w:val="4430512C"/>
    <w:rsid w:val="45DC10F2"/>
    <w:rsid w:val="46AB7443"/>
    <w:rsid w:val="47262F6D"/>
    <w:rsid w:val="47F6649C"/>
    <w:rsid w:val="48CA3C4F"/>
    <w:rsid w:val="4B7D75AC"/>
    <w:rsid w:val="4E7707D7"/>
    <w:rsid w:val="4F187AFF"/>
    <w:rsid w:val="52036385"/>
    <w:rsid w:val="52E12876"/>
    <w:rsid w:val="53FF492A"/>
    <w:rsid w:val="54BF6853"/>
    <w:rsid w:val="55DB733F"/>
    <w:rsid w:val="584C7F5A"/>
    <w:rsid w:val="587B6B40"/>
    <w:rsid w:val="5A332E58"/>
    <w:rsid w:val="5AC21935"/>
    <w:rsid w:val="5AE825BC"/>
    <w:rsid w:val="5AF47194"/>
    <w:rsid w:val="5C8B72C7"/>
    <w:rsid w:val="5FF90DC7"/>
    <w:rsid w:val="60335C18"/>
    <w:rsid w:val="60622029"/>
    <w:rsid w:val="614A27FF"/>
    <w:rsid w:val="61D33AAA"/>
    <w:rsid w:val="62E573E1"/>
    <w:rsid w:val="647B5838"/>
    <w:rsid w:val="649C61C5"/>
    <w:rsid w:val="657607C4"/>
    <w:rsid w:val="65D56B0E"/>
    <w:rsid w:val="66D247F9"/>
    <w:rsid w:val="66F33CB9"/>
    <w:rsid w:val="670E30D2"/>
    <w:rsid w:val="691360E2"/>
    <w:rsid w:val="6A5C267E"/>
    <w:rsid w:val="6A9516EC"/>
    <w:rsid w:val="6AE71D1A"/>
    <w:rsid w:val="6B3410B7"/>
    <w:rsid w:val="6D0E2926"/>
    <w:rsid w:val="6ED47A93"/>
    <w:rsid w:val="6FC45D59"/>
    <w:rsid w:val="6FD857CE"/>
    <w:rsid w:val="6FF905C7"/>
    <w:rsid w:val="701149BD"/>
    <w:rsid w:val="70553465"/>
    <w:rsid w:val="74A54C22"/>
    <w:rsid w:val="758331B5"/>
    <w:rsid w:val="75DD3937"/>
    <w:rsid w:val="790E2D96"/>
    <w:rsid w:val="79E70CF9"/>
    <w:rsid w:val="79FE67D8"/>
    <w:rsid w:val="7A0A5E7A"/>
    <w:rsid w:val="7A146AD1"/>
    <w:rsid w:val="7B033FE1"/>
    <w:rsid w:val="7B18534A"/>
    <w:rsid w:val="7C1E59E5"/>
    <w:rsid w:val="7C460A98"/>
    <w:rsid w:val="7D8E4846"/>
    <w:rsid w:val="7DD37E05"/>
    <w:rsid w:val="7ED50D87"/>
    <w:rsid w:val="7F3D43D5"/>
    <w:rsid w:val="7F8007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044" w:firstLineChars="200"/>
    </w:pPr>
    <w:rPr>
      <w:rFonts w:asciiTheme="minorHAnsi" w:hAnsiTheme="minorHAnsi" w:eastAsiaTheme="minorEastAsia" w:cstheme="minorBidi"/>
      <w:kern w:val="2"/>
      <w:sz w:val="32"/>
      <w:szCs w:val="22"/>
      <w:lang w:val="en-US" w:eastAsia="zh-CN" w:bidi="ar-SA"/>
    </w:rPr>
  </w:style>
  <w:style w:type="paragraph" w:styleId="2">
    <w:name w:val="heading 2"/>
    <w:basedOn w:val="1"/>
    <w:next w:val="1"/>
    <w:autoRedefine/>
    <w:qFormat/>
    <w:uiPriority w:val="0"/>
    <w:pPr>
      <w:spacing w:before="260" w:after="260" w:line="416" w:lineRule="atLeast"/>
      <w:outlineLvl w:val="1"/>
    </w:pPr>
    <w:rPr>
      <w:b/>
      <w:kern w:val="0"/>
      <w:sz w:val="30"/>
      <w:szCs w:val="20"/>
    </w:rPr>
  </w:style>
  <w:style w:type="paragraph" w:styleId="3">
    <w:name w:val="heading 3"/>
    <w:basedOn w:val="1"/>
    <w:next w:val="1"/>
    <w:semiHidden/>
    <w:unhideWhenUsed/>
    <w:qFormat/>
    <w:uiPriority w:val="0"/>
    <w:pPr>
      <w:keepNext/>
      <w:keepLines/>
      <w:spacing w:line="413" w:lineRule="auto"/>
      <w:outlineLvl w:val="2"/>
    </w:pPr>
    <w:rPr>
      <w:rFonts w:eastAsia="黑体"/>
      <w:b/>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1"/>
    <w:autoRedefine/>
    <w:unhideWhenUsed/>
    <w:qFormat/>
    <w:uiPriority w:val="0"/>
    <w:pPr>
      <w:tabs>
        <w:tab w:val="center" w:pos="4153"/>
        <w:tab w:val="right" w:pos="8306"/>
      </w:tabs>
      <w:snapToGrid w:val="0"/>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落款"/>
    <w:basedOn w:val="1"/>
    <w:autoRedefine/>
    <w:qFormat/>
    <w:uiPriority w:val="0"/>
    <w:pPr>
      <w:ind w:left="600" w:leftChars="600" w:firstLine="883"/>
      <w:jc w:val="center"/>
    </w:pPr>
    <w:rPr>
      <w:szCs w:val="24"/>
    </w:rPr>
  </w:style>
  <w:style w:type="character" w:customStyle="1" w:styleId="10">
    <w:name w:val="页眉 字符"/>
    <w:basedOn w:val="8"/>
    <w:link w:val="5"/>
    <w:autoRedefine/>
    <w:qFormat/>
    <w:uiPriority w:val="0"/>
    <w:rPr>
      <w:kern w:val="2"/>
      <w:sz w:val="18"/>
      <w:szCs w:val="18"/>
    </w:rPr>
  </w:style>
  <w:style w:type="character" w:customStyle="1" w:styleId="11">
    <w:name w:val="页脚 字符"/>
    <w:basedOn w:val="8"/>
    <w:link w:val="4"/>
    <w:autoRedefine/>
    <w:qFormat/>
    <w:uiPriority w:val="0"/>
    <w:rPr>
      <w:kern w:val="2"/>
      <w:sz w:val="18"/>
      <w:szCs w:val="18"/>
    </w:rPr>
  </w:style>
  <w:style w:type="paragraph" w:styleId="12">
    <w:name w:val="List Paragraph"/>
    <w:basedOn w:val="1"/>
    <w:autoRedefine/>
    <w:qFormat/>
    <w:uiPriority w:val="34"/>
    <w:pPr>
      <w:ind w:firstLine="420"/>
      <w:jc w:val="both"/>
    </w:pPr>
    <w:rPr>
      <w:sz w:val="21"/>
    </w:rPr>
  </w:style>
  <w:style w:type="paragraph" w:customStyle="1" w:styleId="13">
    <w:name w:val="Revision"/>
    <w:hidden/>
    <w:unhideWhenUsed/>
    <w:qFormat/>
    <w:uiPriority w:val="99"/>
    <w:rPr>
      <w:rFonts w:asciiTheme="minorHAnsi" w:hAnsiTheme="minorHAnsi" w:eastAsiaTheme="minorEastAsia"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B8EFF-154B-4791-B869-E36EE88DC00A}">
  <ds:schemaRefs/>
</ds:datastoreItem>
</file>

<file path=docProps/app.xml><?xml version="1.0" encoding="utf-8"?>
<Properties xmlns="http://schemas.openxmlformats.org/officeDocument/2006/extended-properties" xmlns:vt="http://schemas.openxmlformats.org/officeDocument/2006/docPropsVTypes">
  <Template>Normal</Template>
  <Pages>5</Pages>
  <Words>2941</Words>
  <Characters>3009</Characters>
  <Lines>37</Lines>
  <Paragraphs>10</Paragraphs>
  <TotalTime>24</TotalTime>
  <ScaleCrop>false</ScaleCrop>
  <LinksUpToDate>false</LinksUpToDate>
  <CharactersWithSpaces>3051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2025-04-11T14:33:00Z</dcterms:created>
  <dc:creator>张琼汉</dc:creator>
  <cp:lastModifiedBy>LI</cp:lastModifiedBy>
  <cp:lastPrinted>2025-04-21T03:09:00Z</cp:lastPrinted>
  <dcterms:modified xsi:type="dcterms:W3CDTF">2025-04-24T10:07:35Z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5B90014A43EF4535AB54C8C6400AA23D_13</vt:lpwstr>
  </property>
  <property fmtid="{D5CDD505-2E9C-101B-9397-08002B2CF9AE}" pid="4" name="KSOTemplateDocerSaveRecord">
    <vt:lpwstr>eyJoZGlkIjoiODFhYTk4YWNjMjBiODk2ZThiZjJkMTVlMDgzYmMzMzMiLCJ1c2VySWQiOiI2NTQ2ODYyNDUifQ==</vt:lpwstr>
  </property>
</Properties>
</file>