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11" w:rsidRPr="00390105" w:rsidRDefault="005C7711" w:rsidP="005C7711">
      <w:pPr>
        <w:pStyle w:val="4"/>
        <w:spacing w:before="100" w:beforeAutospacing="1" w:after="100" w:afterAutospacing="1" w:line="360" w:lineRule="auto"/>
        <w:ind w:firstLineChars="200" w:firstLine="643"/>
        <w:jc w:val="center"/>
        <w:rPr>
          <w:b/>
          <w:sz w:val="32"/>
          <w:szCs w:val="32"/>
        </w:rPr>
      </w:pPr>
      <w:r w:rsidRPr="00390105">
        <w:rPr>
          <w:b/>
          <w:sz w:val="32"/>
          <w:szCs w:val="32"/>
        </w:rPr>
        <w:t>疑难病诊治能力同质化平台项目</w:t>
      </w:r>
      <w:r w:rsidR="009C0055">
        <w:rPr>
          <w:b/>
          <w:sz w:val="32"/>
          <w:szCs w:val="32"/>
        </w:rPr>
        <w:t>运算</w:t>
      </w:r>
      <w:r w:rsidRPr="00390105">
        <w:rPr>
          <w:b/>
          <w:sz w:val="32"/>
          <w:szCs w:val="32"/>
        </w:rPr>
        <w:t>服务器</w:t>
      </w:r>
      <w:r>
        <w:rPr>
          <w:b/>
          <w:sz w:val="32"/>
          <w:szCs w:val="32"/>
        </w:rPr>
        <w:t>采购</w:t>
      </w:r>
      <w:r w:rsidRPr="00390105">
        <w:rPr>
          <w:b/>
          <w:sz w:val="32"/>
          <w:szCs w:val="32"/>
        </w:rPr>
        <w:t>需求</w:t>
      </w:r>
    </w:p>
    <w:p w:rsidR="005C7711" w:rsidRPr="009B617D" w:rsidRDefault="0017581A" w:rsidP="005C7711">
      <w:pPr>
        <w:pStyle w:val="4"/>
        <w:spacing w:before="100" w:beforeAutospacing="1" w:after="100" w:afterAutospacing="1" w:line="360" w:lineRule="auto"/>
        <w:ind w:firstLineChars="200" w:firstLine="480"/>
      </w:pPr>
      <w:r>
        <w:rPr>
          <w:rFonts w:hint="eastAsia"/>
        </w:rPr>
        <w:t>根据业务需要采购运</w:t>
      </w:r>
      <w:r w:rsidR="00FD1F27">
        <w:rPr>
          <w:rFonts w:hint="eastAsia"/>
        </w:rPr>
        <w:t>算服务器及</w:t>
      </w:r>
      <w:r w:rsidR="00033A29">
        <w:rPr>
          <w:rFonts w:hint="eastAsia"/>
        </w:rPr>
        <w:t>配套</w:t>
      </w:r>
      <w:bookmarkStart w:id="0" w:name="_GoBack"/>
      <w:bookmarkEnd w:id="0"/>
      <w:r w:rsidR="005C7711">
        <w:rPr>
          <w:rFonts w:hint="eastAsia"/>
        </w:rPr>
        <w:t>软件</w:t>
      </w:r>
      <w:r w:rsidR="005C7711" w:rsidRPr="009B617D">
        <w:rPr>
          <w:rFonts w:hint="eastAsia"/>
        </w:rPr>
        <w:t>。</w:t>
      </w:r>
    </w:p>
    <w:p w:rsidR="005C7711" w:rsidRPr="002058DD" w:rsidRDefault="005C7711" w:rsidP="005C7711">
      <w:pPr>
        <w:pStyle w:val="2"/>
      </w:pPr>
      <w:r w:rsidRPr="002058DD">
        <w:rPr>
          <w:rFonts w:hint="eastAsia"/>
        </w:rPr>
        <w:t>1.</w:t>
      </w:r>
      <w:r w:rsidRPr="002058DD">
        <w:rPr>
          <w:rFonts w:hint="eastAsia"/>
        </w:rPr>
        <w:t>采购产品一览表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3214"/>
        <w:gridCol w:w="1634"/>
        <w:gridCol w:w="1022"/>
        <w:gridCol w:w="1205"/>
      </w:tblGrid>
      <w:tr w:rsidR="00475480" w:rsidTr="005F2A3F">
        <w:trPr>
          <w:trHeight w:val="312"/>
          <w:jc w:val="center"/>
        </w:trPr>
        <w:tc>
          <w:tcPr>
            <w:tcW w:w="736" w:type="pct"/>
            <w:shd w:val="clear" w:color="auto" w:fill="BFBFBF"/>
            <w:vAlign w:val="center"/>
          </w:tcPr>
          <w:p w:rsidR="00475480" w:rsidRDefault="00475480" w:rsidP="008150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37" w:type="pct"/>
            <w:shd w:val="clear" w:color="auto" w:fill="BFBFBF"/>
            <w:vAlign w:val="center"/>
          </w:tcPr>
          <w:p w:rsidR="00475480" w:rsidRDefault="00475480" w:rsidP="008150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985" w:type="pct"/>
            <w:shd w:val="clear" w:color="auto" w:fill="BFBFBF"/>
            <w:vAlign w:val="center"/>
          </w:tcPr>
          <w:p w:rsidR="00475480" w:rsidRDefault="00475480" w:rsidP="008150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16" w:type="pct"/>
            <w:shd w:val="clear" w:color="auto" w:fill="BFBFBF"/>
            <w:vAlign w:val="center"/>
          </w:tcPr>
          <w:p w:rsidR="00475480" w:rsidRDefault="00475480" w:rsidP="008150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26" w:type="pct"/>
            <w:shd w:val="clear" w:color="auto" w:fill="BFBFBF"/>
            <w:vAlign w:val="center"/>
          </w:tcPr>
          <w:p w:rsidR="00475480" w:rsidRDefault="00475480" w:rsidP="008150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产地</w:t>
            </w:r>
          </w:p>
        </w:tc>
      </w:tr>
      <w:tr w:rsidR="00475480" w:rsidRPr="00B8788F" w:rsidTr="005F2A3F">
        <w:trPr>
          <w:trHeight w:val="312"/>
          <w:jc w:val="center"/>
        </w:trPr>
        <w:tc>
          <w:tcPr>
            <w:tcW w:w="736" w:type="pct"/>
            <w:vAlign w:val="center"/>
          </w:tcPr>
          <w:p w:rsidR="00475480" w:rsidRPr="00B8788F" w:rsidRDefault="00475480" w:rsidP="00B8788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878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37" w:type="pct"/>
            <w:vAlign w:val="center"/>
          </w:tcPr>
          <w:p w:rsidR="00475480" w:rsidRPr="00B8788F" w:rsidRDefault="009C0055" w:rsidP="00B8788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运算</w:t>
            </w:r>
            <w:r w:rsidR="00475480" w:rsidRPr="00B878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985" w:type="pct"/>
            <w:vAlign w:val="center"/>
          </w:tcPr>
          <w:p w:rsidR="00475480" w:rsidRPr="00B8788F" w:rsidRDefault="00475480" w:rsidP="00B8788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878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16" w:type="pct"/>
            <w:vAlign w:val="center"/>
          </w:tcPr>
          <w:p w:rsidR="00475480" w:rsidRPr="00B8788F" w:rsidRDefault="00475480" w:rsidP="00B8788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8788F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6" w:type="pct"/>
            <w:vAlign w:val="center"/>
          </w:tcPr>
          <w:p w:rsidR="00475480" w:rsidRPr="00B8788F" w:rsidRDefault="00475480" w:rsidP="00B8788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8788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国产</w:t>
            </w:r>
          </w:p>
        </w:tc>
      </w:tr>
    </w:tbl>
    <w:p w:rsidR="005C7711" w:rsidRPr="00C426A1" w:rsidRDefault="005C7711" w:rsidP="005C7711">
      <w:pPr>
        <w:pStyle w:val="2"/>
      </w:pPr>
      <w:r w:rsidRPr="002058DD">
        <w:rPr>
          <w:rFonts w:hint="eastAsia"/>
        </w:rPr>
        <w:t>2</w:t>
      </w:r>
      <w:r w:rsidRPr="002058DD">
        <w:t>.</w:t>
      </w:r>
      <w:r w:rsidR="005F2A3F">
        <w:t>具体</w:t>
      </w:r>
      <w:r>
        <w:t>需求</w:t>
      </w:r>
    </w:p>
    <w:p w:rsidR="005C7711" w:rsidRPr="00C426A1" w:rsidRDefault="005C7711" w:rsidP="005C7711">
      <w:pPr>
        <w:pStyle w:val="5"/>
      </w:pPr>
      <w:r>
        <w:rPr>
          <w:rFonts w:hint="eastAsia"/>
        </w:rPr>
        <w:t>2.</w:t>
      </w:r>
      <w:r>
        <w:t xml:space="preserve">1 </w:t>
      </w:r>
      <w:r>
        <w:t>服务器</w:t>
      </w:r>
      <w:r w:rsidR="005F2A3F">
        <w:t>需求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3"/>
        <w:gridCol w:w="1754"/>
        <w:gridCol w:w="3969"/>
      </w:tblGrid>
      <w:tr w:rsidR="003957EF" w:rsidRPr="00B30EA5" w:rsidTr="003957EF">
        <w:trPr>
          <w:trHeight w:val="330"/>
        </w:trPr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指标项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技术规格要求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外型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服务器外型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机架式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服务器高度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≥4U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处理器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CPU型号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Intel 至强可扩展系列处理器 6330，可支持最高270W处理器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CPU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实配数量</w:t>
            </w:r>
            <w:proofErr w:type="gramEnd"/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≥2颗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实配数量</w:t>
            </w:r>
            <w:proofErr w:type="gramEnd"/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3</w:t>
            </w: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 NVIDIA A40 GPU卡</w:t>
            </w:r>
          </w:p>
        </w:tc>
      </w:tr>
      <w:tr w:rsidR="003957EF" w:rsidRPr="00B30EA5" w:rsidTr="003957EF">
        <w:trPr>
          <w:trHeight w:val="165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GPU支持能力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支持≥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8个双宽</w:t>
            </w:r>
            <w:proofErr w:type="spellStart"/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PCIe</w:t>
            </w:r>
            <w:proofErr w:type="spell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GPU卡，CPU与GPU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间支持</w:t>
            </w:r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1:4与1:8的灵活连接，GPU与GPU支持PCIe4.0连接；</w:t>
            </w: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支持≥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20个单宽</w:t>
            </w:r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NVIDIA GPU卡；</w:t>
            </w: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支持HGX A800 4-GPU模组</w:t>
            </w: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提供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官网截图证明</w:t>
            </w:r>
            <w:proofErr w:type="gramEnd"/>
          </w:p>
        </w:tc>
      </w:tr>
      <w:tr w:rsidR="003957EF" w:rsidRPr="00B30EA5" w:rsidTr="003957EF">
        <w:trPr>
          <w:trHeight w:val="285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内存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内存可扩展数量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≥32个内存插槽</w:t>
            </w:r>
            <w:r w:rsidR="0030341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 w:rsidR="00303413" w:rsidRPr="0030341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支持英特尔®傲腾®持久内存</w:t>
            </w:r>
            <w:r w:rsidR="0030341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技术。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内存实配规格</w:t>
            </w:r>
            <w:proofErr w:type="gramEnd"/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≥512GB 3200MHz DDR4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存储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实配硬盘</w:t>
            </w:r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及托架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≥3*8T SATA 硬盘，≥2*480G SSD硬盘</w:t>
            </w:r>
          </w:p>
        </w:tc>
      </w:tr>
      <w:tr w:rsidR="003957EF" w:rsidRPr="00B30EA5" w:rsidTr="003957EF">
        <w:trPr>
          <w:trHeight w:val="66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硬盘槽位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配置≥12个3.5寸热插拔硬盘槽位，支持4个</w:t>
            </w:r>
            <w:proofErr w:type="spell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NVMe</w:t>
            </w:r>
            <w:proofErr w:type="spell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硬盘，可扩展至24个3.5寸硬盘槽位</w:t>
            </w:r>
            <w:r w:rsidR="002709C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阵列控制器</w:t>
            </w:r>
          </w:p>
        </w:tc>
        <w:tc>
          <w:tcPr>
            <w:tcW w:w="2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配置1块SAS RAID阵列卡，≥1GB缓存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I/O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spell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PCIe</w:t>
            </w:r>
            <w:proofErr w:type="spell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插槽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除专用GPU插槽外，最多支持4个标准</w:t>
            </w:r>
            <w:proofErr w:type="spell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PCIe</w:t>
            </w:r>
            <w:proofErr w:type="spell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插槽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网卡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配置≥1块 四口千兆网卡；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接口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≥6个USB接口，≥2 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VGA 接口，支持后部独立的管理端口；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可用性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冗余电源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4个≥2200w热插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拔冗</w:t>
            </w:r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余电源，支持N+N冗余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冗余风扇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8个热插</w:t>
            </w:r>
            <w:proofErr w:type="gram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拔冗</w:t>
            </w:r>
            <w:proofErr w:type="gram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余风扇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安全性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安全选项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可配置机箱入侵侦测，在外部打开机箱时提供报警功能。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spellStart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nvqual</w:t>
            </w:r>
            <w:proofErr w:type="spellEnd"/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认证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产品通过NVIDIA官方认证，并提供认证截图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第三方测试报告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提供权威机构出具的第三方测试报告</w:t>
            </w:r>
          </w:p>
        </w:tc>
      </w:tr>
      <w:tr w:rsidR="003957EF" w:rsidRPr="00B30EA5" w:rsidTr="003957EF">
        <w:trPr>
          <w:trHeight w:val="33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服务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售后服务</w:t>
            </w:r>
          </w:p>
        </w:tc>
        <w:tc>
          <w:tcPr>
            <w:tcW w:w="2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EF" w:rsidRPr="00B30EA5" w:rsidRDefault="00DF7395" w:rsidP="009E2E1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原厂授权，</w:t>
            </w:r>
            <w:r w:rsidR="003957EF" w:rsidRPr="00B30EA5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三年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维保，硬盘保留服务。</w:t>
            </w:r>
          </w:p>
        </w:tc>
      </w:tr>
    </w:tbl>
    <w:p w:rsidR="005C7711" w:rsidRPr="00E14B1F" w:rsidRDefault="005C7711" w:rsidP="005C7711"/>
    <w:p w:rsidR="005C7711" w:rsidRDefault="005C7711" w:rsidP="005C7711">
      <w:pPr>
        <w:pStyle w:val="5"/>
      </w:pPr>
      <w:r>
        <w:rPr>
          <w:rFonts w:hint="eastAsia"/>
        </w:rPr>
        <w:lastRenderedPageBreak/>
        <w:t>2.</w:t>
      </w:r>
      <w:r>
        <w:t xml:space="preserve">2 </w:t>
      </w:r>
      <w:r w:rsidR="005F2A3F">
        <w:t>配套</w:t>
      </w:r>
      <w:r w:rsidR="003957EF">
        <w:t>国产</w:t>
      </w:r>
      <w:r>
        <w:t>虚拟化软件</w:t>
      </w:r>
      <w:r w:rsidR="00985B18">
        <w:t>需求</w:t>
      </w:r>
    </w:p>
    <w:p w:rsidR="005F2A3F" w:rsidRPr="005F2A3F" w:rsidRDefault="005F2A3F" w:rsidP="005F2A3F"/>
    <w:tbl>
      <w:tblPr>
        <w:tblW w:w="7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8"/>
        <w:gridCol w:w="1156"/>
      </w:tblGrid>
      <w:tr w:rsidR="003957EF" w:rsidRPr="003957EF" w:rsidTr="003957EF">
        <w:tc>
          <w:tcPr>
            <w:tcW w:w="675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68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指标要求</w:t>
            </w:r>
          </w:p>
        </w:tc>
        <w:tc>
          <w:tcPr>
            <w:tcW w:w="1156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证明材料要求</w:t>
            </w:r>
          </w:p>
        </w:tc>
      </w:tr>
      <w:tr w:rsidR="00985B18" w:rsidRPr="003957EF" w:rsidTr="00E15284">
        <w:tc>
          <w:tcPr>
            <w:tcW w:w="675" w:type="dxa"/>
          </w:tcPr>
          <w:p w:rsidR="00985B18" w:rsidRPr="003957EF" w:rsidRDefault="00985B18" w:rsidP="00E1528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68" w:type="dxa"/>
          </w:tcPr>
          <w:p w:rsidR="00985B18" w:rsidRPr="003957EF" w:rsidRDefault="00985B18" w:rsidP="00E1528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数量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6套，1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2cpu</w:t>
            </w:r>
          </w:p>
        </w:tc>
        <w:tc>
          <w:tcPr>
            <w:tcW w:w="1156" w:type="dxa"/>
          </w:tcPr>
          <w:p w:rsidR="00985B18" w:rsidRPr="003957EF" w:rsidRDefault="00985B18" w:rsidP="00E1528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EC09B2" w:rsidRPr="003957EF" w:rsidTr="0081506B">
        <w:tc>
          <w:tcPr>
            <w:tcW w:w="675" w:type="dxa"/>
          </w:tcPr>
          <w:p w:rsidR="00EC09B2" w:rsidRPr="003957EF" w:rsidRDefault="00985B18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68" w:type="dxa"/>
          </w:tcPr>
          <w:p w:rsidR="00EC09B2" w:rsidRPr="003957EF" w:rsidRDefault="00EC09B2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国内主流品牌服务器，需要提供证明。</w:t>
            </w:r>
          </w:p>
        </w:tc>
        <w:tc>
          <w:tcPr>
            <w:tcW w:w="1156" w:type="dxa"/>
          </w:tcPr>
          <w:p w:rsidR="00EC09B2" w:rsidRPr="003957EF" w:rsidRDefault="00EC09B2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3957EF" w:rsidRPr="003957EF" w:rsidTr="003957EF">
        <w:tc>
          <w:tcPr>
            <w:tcW w:w="675" w:type="dxa"/>
          </w:tcPr>
          <w:p w:rsidR="003957EF" w:rsidRPr="003957EF" w:rsidRDefault="00985B18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68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支持与 KVM、VMware、Citrix </w:t>
            </w:r>
            <w:proofErr w:type="spell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XenServer</w:t>
            </w:r>
            <w:proofErr w:type="spellEnd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等虚拟化集成部署超融合平台（提供 VMware、Citrix </w:t>
            </w:r>
            <w:proofErr w:type="gram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官网可</w:t>
            </w:r>
            <w:proofErr w:type="gramEnd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查询的兼容性证明</w:t>
            </w:r>
          </w:p>
        </w:tc>
        <w:tc>
          <w:tcPr>
            <w:tcW w:w="1156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3957EF" w:rsidRPr="003957EF" w:rsidTr="003957EF">
        <w:tc>
          <w:tcPr>
            <w:tcW w:w="675" w:type="dxa"/>
          </w:tcPr>
          <w:p w:rsidR="003957EF" w:rsidRPr="003957EF" w:rsidRDefault="00985B18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668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支持GPU直通和GPU虚拟化，GPU 虚拟化技术可以将单个物理的 GPU 切割成多个逻辑的 </w:t>
            </w:r>
            <w:proofErr w:type="spell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vGPU</w:t>
            </w:r>
            <w:proofErr w:type="spellEnd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，并将 </w:t>
            </w:r>
            <w:proofErr w:type="spell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vGPU</w:t>
            </w:r>
            <w:proofErr w:type="spellEnd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分配到虚拟机作为虚拟显卡</w:t>
            </w:r>
          </w:p>
        </w:tc>
        <w:tc>
          <w:tcPr>
            <w:tcW w:w="1156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3957EF" w:rsidRPr="003957EF" w:rsidTr="003957EF">
        <w:tc>
          <w:tcPr>
            <w:tcW w:w="675" w:type="dxa"/>
          </w:tcPr>
          <w:p w:rsidR="003957EF" w:rsidRPr="003957EF" w:rsidRDefault="00985B18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668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支持创建分布式虚拟交换机，统一配置集群间不同</w:t>
            </w:r>
            <w:proofErr w:type="gram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物理机节点</w:t>
            </w:r>
            <w:proofErr w:type="gramEnd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的网卡设备，并支持网卡故障切换以及负载均衡功能，单集群中支持的分布式虚拟交换机数量大于 8 </w:t>
            </w:r>
            <w:proofErr w:type="gram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156" w:type="dxa"/>
            <w:vAlign w:val="center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3957EF" w:rsidRPr="003957EF" w:rsidTr="003957EF">
        <w:tc>
          <w:tcPr>
            <w:tcW w:w="675" w:type="dxa"/>
          </w:tcPr>
          <w:p w:rsidR="003957EF" w:rsidRPr="003957EF" w:rsidRDefault="00985B18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668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提供资源优化功能，能识别僵尸虚拟机和长期未使用的虚拟机，也可以识别内存、CPU资源过剩或资源紧张的虚拟机，</w:t>
            </w:r>
            <w:proofErr w:type="gramStart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方便运维管理</w:t>
            </w:r>
            <w:proofErr w:type="gramEnd"/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人员快速筛选出符合一定条件的虚拟机并进行针对性的调整，也可自定义资源优化规则</w:t>
            </w:r>
          </w:p>
        </w:tc>
        <w:tc>
          <w:tcPr>
            <w:tcW w:w="1156" w:type="dxa"/>
            <w:vAlign w:val="center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3957EF" w:rsidRPr="003957EF" w:rsidTr="0081506B">
        <w:tc>
          <w:tcPr>
            <w:tcW w:w="675" w:type="dxa"/>
          </w:tcPr>
          <w:p w:rsidR="003957EF" w:rsidRPr="003957EF" w:rsidRDefault="00985B18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668" w:type="dxa"/>
          </w:tcPr>
          <w:p w:rsidR="003957EF" w:rsidRPr="003957EF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支持存储 I/O 本地化，在虚拟化环境中，分布式存储本身支持优先将数据写在本地磁盘上，并且当虚拟机迁移到任意节点，其数据也会在往后一段时间内迁移到虚拟机所在物理节</w:t>
            </w:r>
            <w:r w:rsidRPr="003957EF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点，实现数据本地化。数据读取可从本地磁盘访问，确保最短 I/O 路径以降低 I/O 延迟并减少网络流量</w:t>
            </w:r>
          </w:p>
        </w:tc>
        <w:tc>
          <w:tcPr>
            <w:tcW w:w="1156" w:type="dxa"/>
            <w:vAlign w:val="center"/>
          </w:tcPr>
          <w:p w:rsidR="003957EF" w:rsidRPr="003957EF" w:rsidRDefault="003957EF" w:rsidP="0081506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3957EF" w:rsidRPr="003957EF" w:rsidTr="003957EF">
        <w:tc>
          <w:tcPr>
            <w:tcW w:w="675" w:type="dxa"/>
          </w:tcPr>
          <w:p w:rsidR="003957EF" w:rsidRPr="003957EF" w:rsidRDefault="00985B18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5668" w:type="dxa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原厂授权</w:t>
            </w:r>
            <w:r w:rsidR="00DF7395"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，三年维保，终身使用</w:t>
            </w:r>
          </w:p>
        </w:tc>
        <w:tc>
          <w:tcPr>
            <w:tcW w:w="1156" w:type="dxa"/>
            <w:vAlign w:val="center"/>
          </w:tcPr>
          <w:p w:rsidR="003957EF" w:rsidRPr="003957EF" w:rsidRDefault="003957EF" w:rsidP="003957E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是</w:t>
            </w:r>
          </w:p>
        </w:tc>
      </w:tr>
    </w:tbl>
    <w:p w:rsidR="005C7711" w:rsidRDefault="005C7711" w:rsidP="005C7711"/>
    <w:p w:rsidR="001B31D7" w:rsidRDefault="001B31D7"/>
    <w:sectPr w:rsidR="001B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11"/>
    <w:rsid w:val="00033A29"/>
    <w:rsid w:val="0017581A"/>
    <w:rsid w:val="001B31D7"/>
    <w:rsid w:val="00260300"/>
    <w:rsid w:val="002709C9"/>
    <w:rsid w:val="00303413"/>
    <w:rsid w:val="003957EF"/>
    <w:rsid w:val="00475480"/>
    <w:rsid w:val="004B1816"/>
    <w:rsid w:val="00505F3D"/>
    <w:rsid w:val="005C7711"/>
    <w:rsid w:val="005E7946"/>
    <w:rsid w:val="005F2A3F"/>
    <w:rsid w:val="005F2F0E"/>
    <w:rsid w:val="007364BB"/>
    <w:rsid w:val="007674DB"/>
    <w:rsid w:val="007D3369"/>
    <w:rsid w:val="00876075"/>
    <w:rsid w:val="00956F75"/>
    <w:rsid w:val="00985B18"/>
    <w:rsid w:val="009A69E2"/>
    <w:rsid w:val="009C0055"/>
    <w:rsid w:val="009E2E19"/>
    <w:rsid w:val="00A455F1"/>
    <w:rsid w:val="00A65BBC"/>
    <w:rsid w:val="00B8788F"/>
    <w:rsid w:val="00CB16E9"/>
    <w:rsid w:val="00CC23D0"/>
    <w:rsid w:val="00DF7395"/>
    <w:rsid w:val="00EC09B2"/>
    <w:rsid w:val="00F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1CCE4-A6EF-452E-8C81-418DC75A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E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C77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18"/>
    <w:qFormat/>
    <w:rsid w:val="005C7711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771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C77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18"/>
    <w:rsid w:val="005C7711"/>
    <w:rPr>
      <w:rFonts w:ascii="宋体" w:eastAsia="宋体" w:hAnsi="宋体" w:cs="宋体"/>
      <w:kern w:val="0"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5C771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2024-11-26T05:10:00Z</dcterms:created>
  <dcterms:modified xsi:type="dcterms:W3CDTF">2024-11-28T02:00:00Z</dcterms:modified>
</cp:coreProperties>
</file>