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53C8" w14:textId="77777777" w:rsidR="00EF61E8" w:rsidRDefault="00EF61E8"/>
    <w:p w14:paraId="6F46D9BA" w14:textId="61F6D10F" w:rsidR="00EF61E8" w:rsidRDefault="0002033C" w:rsidP="009657EB">
      <w:pPr>
        <w:pStyle w:val="a8"/>
      </w:pPr>
      <w:r>
        <w:t>国家癌症中心</w:t>
      </w:r>
      <w:r w:rsidR="00A15080">
        <w:t>运维</w:t>
      </w:r>
      <w:r w:rsidR="00E64EE8">
        <w:t>平台</w:t>
      </w:r>
      <w:r>
        <w:t>技术需求</w:t>
      </w:r>
    </w:p>
    <w:p w14:paraId="357B6C5B" w14:textId="77777777" w:rsidR="00375EDF" w:rsidRDefault="00375EDF" w:rsidP="00375EDF">
      <w:pPr>
        <w:pStyle w:val="2"/>
      </w:pPr>
      <w:r w:rsidRPr="002058DD">
        <w:rPr>
          <w:rFonts w:hint="eastAsia"/>
        </w:rPr>
        <w:t>1.</w:t>
      </w:r>
      <w:r w:rsidRPr="002058DD">
        <w:rPr>
          <w:rFonts w:hint="eastAsia"/>
        </w:rPr>
        <w:t>采购产品一览表</w:t>
      </w:r>
    </w:p>
    <w:p w14:paraId="6DAB8D21" w14:textId="22DCB352" w:rsidR="00375EDF" w:rsidRPr="00F11D8E" w:rsidRDefault="00A86C04" w:rsidP="00F11D8E">
      <w:pPr>
        <w:pStyle w:val="a8"/>
        <w:spacing w:before="62" w:after="62"/>
        <w:ind w:firstLineChars="200" w:firstLine="560"/>
        <w:jc w:val="left"/>
        <w:rPr>
          <w:rFonts w:ascii="宋体" w:hAnsi="宋体" w:cs="宋体"/>
          <w:b w:val="0"/>
          <w:bCs w:val="0"/>
          <w:color w:val="000000"/>
          <w:kern w:val="0"/>
          <w:sz w:val="28"/>
          <w:szCs w:val="28"/>
        </w:rPr>
      </w:pPr>
      <w:r>
        <w:rPr>
          <w:rFonts w:ascii="宋体" w:hAnsi="宋体" w:cs="宋体"/>
          <w:b w:val="0"/>
          <w:bCs w:val="0"/>
          <w:color w:val="000000"/>
          <w:kern w:val="0"/>
          <w:sz w:val="28"/>
          <w:szCs w:val="28"/>
        </w:rPr>
        <w:t>运维</w:t>
      </w:r>
      <w:r w:rsidR="00E64EE8">
        <w:rPr>
          <w:rFonts w:ascii="宋体" w:hAnsi="宋体" w:cs="宋体"/>
          <w:b w:val="0"/>
          <w:bCs w:val="0"/>
          <w:color w:val="000000"/>
          <w:kern w:val="0"/>
          <w:sz w:val="28"/>
          <w:szCs w:val="28"/>
        </w:rPr>
        <w:t>平台</w:t>
      </w:r>
      <w:bookmarkStart w:id="0" w:name="_GoBack"/>
      <w:bookmarkEnd w:id="0"/>
      <w:r w:rsidR="00CA67DF">
        <w:rPr>
          <w:rFonts w:ascii="宋体" w:hAnsi="宋体" w:cs="宋体"/>
          <w:b w:val="0"/>
          <w:bCs w:val="0"/>
          <w:color w:val="000000"/>
          <w:kern w:val="0"/>
          <w:sz w:val="28"/>
          <w:szCs w:val="28"/>
        </w:rPr>
        <w:t>一套</w:t>
      </w:r>
      <w:r>
        <w:rPr>
          <w:rFonts w:ascii="宋体" w:hAnsi="宋体" w:cs="宋体"/>
          <w:b w:val="0"/>
          <w:bCs w:val="0"/>
          <w:color w:val="000000"/>
          <w:kern w:val="0"/>
          <w:sz w:val="28"/>
          <w:szCs w:val="28"/>
        </w:rPr>
        <w:t>。</w:t>
      </w:r>
    </w:p>
    <w:p w14:paraId="72AB0430" w14:textId="3B900117" w:rsidR="00375EDF" w:rsidRDefault="00375EDF" w:rsidP="00CB73A6">
      <w:pPr>
        <w:pStyle w:val="2"/>
      </w:pPr>
      <w:r w:rsidRPr="002058DD">
        <w:rPr>
          <w:rFonts w:hint="eastAsia"/>
        </w:rPr>
        <w:t>2</w:t>
      </w:r>
      <w:r w:rsidRPr="002058DD">
        <w:t>.</w:t>
      </w:r>
      <w:r>
        <w:t>采购需求</w:t>
      </w:r>
    </w:p>
    <w:tbl>
      <w:tblPr>
        <w:tblW w:w="5018" w:type="pct"/>
        <w:tblInd w:w="-15" w:type="dxa"/>
        <w:tblLook w:val="04A0" w:firstRow="1" w:lastRow="0" w:firstColumn="1" w:lastColumn="0" w:noHBand="0" w:noVBand="1"/>
      </w:tblPr>
      <w:tblGrid>
        <w:gridCol w:w="850"/>
        <w:gridCol w:w="579"/>
        <w:gridCol w:w="6897"/>
      </w:tblGrid>
      <w:tr w:rsidR="00BC16B7" w:rsidRPr="00BC16B7" w14:paraId="255E3796" w14:textId="77777777" w:rsidTr="009657EB">
        <w:trPr>
          <w:trHeight w:val="495"/>
        </w:trPr>
        <w:tc>
          <w:tcPr>
            <w:tcW w:w="5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555BDD" w14:textId="77777777" w:rsidR="00BC16B7" w:rsidRPr="00BC16B7" w:rsidRDefault="00BC16B7" w:rsidP="00BC16B7">
            <w:pPr>
              <w:widowControl/>
              <w:rPr>
                <w:rFonts w:ascii="宋体" w:eastAsia="宋体" w:hAnsi="宋体" w:cs="宋体"/>
                <w:b/>
                <w:bCs/>
                <w:color w:val="000000"/>
                <w:kern w:val="0"/>
                <w:szCs w:val="21"/>
              </w:rPr>
            </w:pPr>
            <w:r w:rsidRPr="00BC16B7">
              <w:rPr>
                <w:rFonts w:ascii="宋体" w:eastAsia="宋体" w:hAnsi="宋体" w:cs="宋体" w:hint="eastAsia"/>
                <w:b/>
                <w:bCs/>
                <w:color w:val="000000"/>
                <w:kern w:val="0"/>
                <w:szCs w:val="21"/>
              </w:rPr>
              <w:t>序号</w:t>
            </w:r>
          </w:p>
        </w:tc>
        <w:tc>
          <w:tcPr>
            <w:tcW w:w="348" w:type="pct"/>
            <w:tcBorders>
              <w:top w:val="single" w:sz="8" w:space="0" w:color="000000"/>
              <w:left w:val="nil"/>
              <w:bottom w:val="single" w:sz="8" w:space="0" w:color="000000"/>
              <w:right w:val="single" w:sz="8" w:space="0" w:color="000000"/>
            </w:tcBorders>
            <w:shd w:val="clear" w:color="auto" w:fill="auto"/>
            <w:vAlign w:val="center"/>
            <w:hideMark/>
          </w:tcPr>
          <w:p w14:paraId="65B1E09C" w14:textId="77777777" w:rsidR="00BC16B7" w:rsidRPr="00BC16B7" w:rsidRDefault="00BC16B7" w:rsidP="00BC16B7">
            <w:pPr>
              <w:widowControl/>
              <w:jc w:val="center"/>
              <w:rPr>
                <w:rFonts w:ascii="宋体" w:eastAsia="宋体" w:hAnsi="宋体" w:cs="宋体"/>
                <w:b/>
                <w:bCs/>
                <w:color w:val="000000"/>
                <w:kern w:val="0"/>
                <w:szCs w:val="21"/>
              </w:rPr>
            </w:pPr>
            <w:r w:rsidRPr="00BC16B7">
              <w:rPr>
                <w:rFonts w:ascii="宋体" w:eastAsia="宋体" w:hAnsi="宋体" w:cs="宋体" w:hint="eastAsia"/>
                <w:b/>
                <w:bCs/>
                <w:color w:val="000000"/>
                <w:kern w:val="0"/>
                <w:szCs w:val="21"/>
              </w:rPr>
              <w:t>指标项</w:t>
            </w:r>
          </w:p>
        </w:tc>
        <w:tc>
          <w:tcPr>
            <w:tcW w:w="4142" w:type="pct"/>
            <w:tcBorders>
              <w:top w:val="single" w:sz="8" w:space="0" w:color="000000"/>
              <w:left w:val="nil"/>
              <w:bottom w:val="single" w:sz="8" w:space="0" w:color="000000"/>
              <w:right w:val="single" w:sz="8" w:space="0" w:color="000000"/>
            </w:tcBorders>
            <w:shd w:val="clear" w:color="auto" w:fill="auto"/>
            <w:vAlign w:val="center"/>
            <w:hideMark/>
          </w:tcPr>
          <w:p w14:paraId="7402AAC5" w14:textId="77777777" w:rsidR="00BC16B7" w:rsidRPr="00BC16B7" w:rsidRDefault="00BC16B7" w:rsidP="00BC16B7">
            <w:pPr>
              <w:widowControl/>
              <w:jc w:val="center"/>
              <w:rPr>
                <w:rFonts w:ascii="宋体" w:eastAsia="宋体" w:hAnsi="宋体" w:cs="宋体"/>
                <w:b/>
                <w:bCs/>
                <w:color w:val="000000"/>
                <w:kern w:val="0"/>
                <w:szCs w:val="21"/>
              </w:rPr>
            </w:pPr>
            <w:r w:rsidRPr="00BC16B7">
              <w:rPr>
                <w:rFonts w:ascii="宋体" w:eastAsia="宋体" w:hAnsi="宋体" w:cs="宋体" w:hint="eastAsia"/>
                <w:b/>
                <w:bCs/>
                <w:color w:val="000000"/>
                <w:kern w:val="0"/>
                <w:szCs w:val="21"/>
              </w:rPr>
              <w:t>指标项要求</w:t>
            </w:r>
          </w:p>
        </w:tc>
      </w:tr>
      <w:tr w:rsidR="00003964" w:rsidRPr="00BC16B7" w14:paraId="4FE3C207" w14:textId="77777777" w:rsidTr="009657EB">
        <w:trPr>
          <w:trHeight w:val="270"/>
        </w:trPr>
        <w:tc>
          <w:tcPr>
            <w:tcW w:w="510" w:type="pct"/>
            <w:vMerge w:val="restart"/>
            <w:tcBorders>
              <w:top w:val="nil"/>
              <w:left w:val="single" w:sz="8" w:space="0" w:color="000000"/>
              <w:bottom w:val="nil"/>
              <w:right w:val="single" w:sz="8" w:space="0" w:color="000000"/>
            </w:tcBorders>
            <w:shd w:val="clear" w:color="auto" w:fill="auto"/>
            <w:noWrap/>
            <w:vAlign w:val="center"/>
            <w:hideMark/>
          </w:tcPr>
          <w:p w14:paraId="2A873E40" w14:textId="77777777" w:rsidR="00003964" w:rsidRPr="00BC16B7" w:rsidRDefault="00003964" w:rsidP="00003964">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1</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vMerge w:val="restart"/>
            <w:tcBorders>
              <w:top w:val="nil"/>
              <w:left w:val="single" w:sz="8" w:space="0" w:color="000000"/>
              <w:bottom w:val="nil"/>
              <w:right w:val="single" w:sz="8" w:space="0" w:color="000000"/>
            </w:tcBorders>
            <w:shd w:val="clear" w:color="auto" w:fill="auto"/>
            <w:vAlign w:val="center"/>
            <w:hideMark/>
          </w:tcPr>
          <w:p w14:paraId="216BDF0A" w14:textId="77777777" w:rsidR="00003964" w:rsidRPr="00BC16B7" w:rsidRDefault="00003964" w:rsidP="00003964">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硬件配置</w:t>
            </w:r>
          </w:p>
        </w:tc>
        <w:tc>
          <w:tcPr>
            <w:tcW w:w="4142" w:type="pct"/>
            <w:tcBorders>
              <w:top w:val="nil"/>
              <w:left w:val="nil"/>
              <w:bottom w:val="nil"/>
              <w:right w:val="single" w:sz="8" w:space="0" w:color="000000"/>
            </w:tcBorders>
            <w:shd w:val="clear" w:color="auto" w:fill="auto"/>
            <w:hideMark/>
          </w:tcPr>
          <w:p w14:paraId="4258488B" w14:textId="41C598A3" w:rsidR="00003964" w:rsidRPr="00BC16B7" w:rsidRDefault="00003964" w:rsidP="00003964">
            <w:pPr>
              <w:widowControl/>
              <w:jc w:val="left"/>
              <w:rPr>
                <w:rFonts w:ascii="宋体" w:eastAsia="宋体" w:hAnsi="宋体" w:cs="宋体"/>
                <w:color w:val="000000"/>
                <w:kern w:val="0"/>
                <w:szCs w:val="21"/>
              </w:rPr>
            </w:pPr>
            <w:r w:rsidRPr="0004683A">
              <w:rPr>
                <w:rFonts w:hint="eastAsia"/>
              </w:rPr>
              <w:t>2U</w:t>
            </w:r>
            <w:r w:rsidRPr="0004683A">
              <w:rPr>
                <w:rFonts w:hint="eastAsia"/>
              </w:rPr>
              <w:t>机架式（专用硬件平台），冗余交流电源，</w:t>
            </w:r>
            <w:r w:rsidRPr="0004683A">
              <w:rPr>
                <w:rFonts w:hint="eastAsia"/>
              </w:rPr>
              <w:t>2*GE</w:t>
            </w:r>
            <w:r w:rsidRPr="0004683A">
              <w:rPr>
                <w:rFonts w:hint="eastAsia"/>
              </w:rPr>
              <w:t>板载管理口，</w:t>
            </w:r>
            <w:r w:rsidRPr="0004683A">
              <w:rPr>
                <w:rFonts w:hint="eastAsia"/>
              </w:rPr>
              <w:t>4*GE</w:t>
            </w:r>
            <w:r w:rsidRPr="0004683A">
              <w:rPr>
                <w:rFonts w:hint="eastAsia"/>
              </w:rPr>
              <w:t>板载接口，</w:t>
            </w:r>
            <w:r w:rsidRPr="0004683A">
              <w:rPr>
                <w:rFonts w:hint="eastAsia"/>
              </w:rPr>
              <w:t>2</w:t>
            </w:r>
            <w:r w:rsidRPr="0004683A">
              <w:rPr>
                <w:rFonts w:hint="eastAsia"/>
              </w:rPr>
              <w:t>×接口板卡插槽。</w:t>
            </w:r>
            <w:r w:rsidRPr="0004683A">
              <w:rPr>
                <w:rFonts w:hint="eastAsia"/>
              </w:rPr>
              <w:t>32GB</w:t>
            </w:r>
            <w:r w:rsidRPr="0004683A">
              <w:rPr>
                <w:rFonts w:hint="eastAsia"/>
              </w:rPr>
              <w:t>内存，</w:t>
            </w:r>
            <w:r w:rsidRPr="0004683A">
              <w:rPr>
                <w:rFonts w:hint="eastAsia"/>
              </w:rPr>
              <w:t>1</w:t>
            </w:r>
            <w:r w:rsidRPr="0004683A">
              <w:rPr>
                <w:rFonts w:hint="eastAsia"/>
              </w:rPr>
              <w:t>×</w:t>
            </w:r>
            <w:r w:rsidRPr="0004683A">
              <w:rPr>
                <w:rFonts w:hint="eastAsia"/>
              </w:rPr>
              <w:t>4TB</w:t>
            </w:r>
            <w:r w:rsidRPr="0004683A">
              <w:rPr>
                <w:rFonts w:hint="eastAsia"/>
              </w:rPr>
              <w:t>硬盘。</w:t>
            </w:r>
          </w:p>
        </w:tc>
      </w:tr>
      <w:tr w:rsidR="00003964" w:rsidRPr="00BC16B7" w14:paraId="0614A7A8" w14:textId="77777777" w:rsidTr="009657EB">
        <w:trPr>
          <w:trHeight w:val="270"/>
        </w:trPr>
        <w:tc>
          <w:tcPr>
            <w:tcW w:w="510" w:type="pct"/>
            <w:vMerge/>
            <w:tcBorders>
              <w:top w:val="nil"/>
              <w:left w:val="single" w:sz="8" w:space="0" w:color="000000"/>
              <w:bottom w:val="nil"/>
              <w:right w:val="single" w:sz="8" w:space="0" w:color="000000"/>
            </w:tcBorders>
            <w:vAlign w:val="center"/>
            <w:hideMark/>
          </w:tcPr>
          <w:p w14:paraId="6F9775F5" w14:textId="77777777" w:rsidR="00003964" w:rsidRPr="00BC16B7" w:rsidRDefault="00003964" w:rsidP="00003964">
            <w:pPr>
              <w:widowControl/>
              <w:jc w:val="left"/>
              <w:rPr>
                <w:rFonts w:ascii="宋体" w:eastAsia="宋体" w:hAnsi="宋体" w:cs="宋体"/>
                <w:color w:val="000000"/>
                <w:kern w:val="0"/>
                <w:szCs w:val="21"/>
              </w:rPr>
            </w:pPr>
          </w:p>
        </w:tc>
        <w:tc>
          <w:tcPr>
            <w:tcW w:w="348" w:type="pct"/>
            <w:vMerge/>
            <w:tcBorders>
              <w:top w:val="nil"/>
              <w:left w:val="single" w:sz="8" w:space="0" w:color="000000"/>
              <w:bottom w:val="nil"/>
              <w:right w:val="single" w:sz="8" w:space="0" w:color="000000"/>
            </w:tcBorders>
            <w:vAlign w:val="center"/>
            <w:hideMark/>
          </w:tcPr>
          <w:p w14:paraId="20953C08" w14:textId="77777777" w:rsidR="00003964" w:rsidRPr="00BC16B7" w:rsidRDefault="00003964" w:rsidP="00003964">
            <w:pPr>
              <w:widowControl/>
              <w:jc w:val="left"/>
              <w:rPr>
                <w:rFonts w:ascii="宋体" w:eastAsia="宋体" w:hAnsi="宋体" w:cs="宋体"/>
                <w:color w:val="000000"/>
                <w:kern w:val="0"/>
                <w:szCs w:val="21"/>
              </w:rPr>
            </w:pPr>
          </w:p>
        </w:tc>
        <w:tc>
          <w:tcPr>
            <w:tcW w:w="4142" w:type="pct"/>
            <w:tcBorders>
              <w:top w:val="nil"/>
              <w:left w:val="nil"/>
              <w:bottom w:val="nil"/>
              <w:right w:val="single" w:sz="8" w:space="0" w:color="000000"/>
            </w:tcBorders>
            <w:shd w:val="clear" w:color="auto" w:fill="auto"/>
            <w:hideMark/>
          </w:tcPr>
          <w:p w14:paraId="182CB47C" w14:textId="6B890463" w:rsidR="00003964" w:rsidRPr="00BC16B7" w:rsidRDefault="00003964" w:rsidP="00003964">
            <w:pPr>
              <w:widowControl/>
              <w:jc w:val="left"/>
              <w:rPr>
                <w:rFonts w:ascii="宋体" w:eastAsia="宋体" w:hAnsi="宋体" w:cs="宋体"/>
                <w:color w:val="000000"/>
                <w:kern w:val="0"/>
                <w:szCs w:val="21"/>
              </w:rPr>
            </w:pPr>
            <w:r w:rsidRPr="0004683A">
              <w:rPr>
                <w:rFonts w:hint="eastAsia"/>
              </w:rPr>
              <w:t>标配</w:t>
            </w:r>
            <w:r w:rsidRPr="0004683A">
              <w:rPr>
                <w:rFonts w:hint="eastAsia"/>
              </w:rPr>
              <w:t>30</w:t>
            </w:r>
            <w:r w:rsidRPr="0004683A">
              <w:rPr>
                <w:rFonts w:hint="eastAsia"/>
              </w:rPr>
              <w:t>个数据库</w:t>
            </w:r>
            <w:r w:rsidRPr="0004683A">
              <w:rPr>
                <w:rFonts w:hint="eastAsia"/>
              </w:rPr>
              <w:t>(ip+port)</w:t>
            </w:r>
            <w:r w:rsidRPr="0004683A">
              <w:rPr>
                <w:rFonts w:hint="eastAsia"/>
              </w:rPr>
              <w:t>授权。最高扩展数据库个数</w:t>
            </w:r>
            <w:r w:rsidRPr="0004683A">
              <w:rPr>
                <w:rFonts w:hint="eastAsia"/>
              </w:rPr>
              <w:t>50</w:t>
            </w:r>
            <w:r w:rsidRPr="0004683A">
              <w:rPr>
                <w:rFonts w:hint="eastAsia"/>
              </w:rPr>
              <w:t>个</w:t>
            </w:r>
          </w:p>
        </w:tc>
      </w:tr>
      <w:tr w:rsidR="00003964" w:rsidRPr="00BC16B7" w14:paraId="1D88631D" w14:textId="77777777" w:rsidTr="009657EB">
        <w:trPr>
          <w:trHeight w:val="270"/>
        </w:trPr>
        <w:tc>
          <w:tcPr>
            <w:tcW w:w="510" w:type="pct"/>
            <w:vMerge/>
            <w:tcBorders>
              <w:top w:val="nil"/>
              <w:left w:val="single" w:sz="8" w:space="0" w:color="000000"/>
              <w:bottom w:val="nil"/>
              <w:right w:val="single" w:sz="8" w:space="0" w:color="000000"/>
            </w:tcBorders>
            <w:vAlign w:val="center"/>
            <w:hideMark/>
          </w:tcPr>
          <w:p w14:paraId="61708AC2" w14:textId="77777777" w:rsidR="00003964" w:rsidRPr="00BC16B7" w:rsidRDefault="00003964" w:rsidP="00003964">
            <w:pPr>
              <w:widowControl/>
              <w:jc w:val="left"/>
              <w:rPr>
                <w:rFonts w:ascii="宋体" w:eastAsia="宋体" w:hAnsi="宋体" w:cs="宋体"/>
                <w:color w:val="000000"/>
                <w:kern w:val="0"/>
                <w:szCs w:val="21"/>
              </w:rPr>
            </w:pPr>
          </w:p>
        </w:tc>
        <w:tc>
          <w:tcPr>
            <w:tcW w:w="348" w:type="pct"/>
            <w:vMerge/>
            <w:tcBorders>
              <w:top w:val="nil"/>
              <w:left w:val="single" w:sz="8" w:space="0" w:color="000000"/>
              <w:bottom w:val="nil"/>
              <w:right w:val="single" w:sz="8" w:space="0" w:color="000000"/>
            </w:tcBorders>
            <w:vAlign w:val="center"/>
            <w:hideMark/>
          </w:tcPr>
          <w:p w14:paraId="35880D31" w14:textId="77777777" w:rsidR="00003964" w:rsidRPr="00BC16B7" w:rsidRDefault="00003964" w:rsidP="00003964">
            <w:pPr>
              <w:widowControl/>
              <w:jc w:val="left"/>
              <w:rPr>
                <w:rFonts w:ascii="宋体" w:eastAsia="宋体" w:hAnsi="宋体" w:cs="宋体"/>
                <w:color w:val="000000"/>
                <w:kern w:val="0"/>
                <w:szCs w:val="21"/>
              </w:rPr>
            </w:pPr>
          </w:p>
        </w:tc>
        <w:tc>
          <w:tcPr>
            <w:tcW w:w="4142" w:type="pct"/>
            <w:tcBorders>
              <w:top w:val="nil"/>
              <w:left w:val="nil"/>
              <w:bottom w:val="nil"/>
              <w:right w:val="single" w:sz="8" w:space="0" w:color="000000"/>
            </w:tcBorders>
            <w:shd w:val="clear" w:color="auto" w:fill="auto"/>
            <w:hideMark/>
          </w:tcPr>
          <w:p w14:paraId="3F6EED0A" w14:textId="2742D38B" w:rsidR="00003964" w:rsidRPr="00BC16B7" w:rsidRDefault="00003964" w:rsidP="00003964">
            <w:pPr>
              <w:widowControl/>
              <w:jc w:val="left"/>
              <w:rPr>
                <w:rFonts w:ascii="宋体" w:eastAsia="宋体" w:hAnsi="宋体" w:cs="宋体"/>
                <w:color w:val="000000"/>
                <w:kern w:val="0"/>
                <w:szCs w:val="21"/>
              </w:rPr>
            </w:pPr>
            <w:r w:rsidRPr="0004683A">
              <w:rPr>
                <w:rFonts w:hint="eastAsia"/>
              </w:rPr>
              <w:t>标配</w:t>
            </w:r>
            <w:r w:rsidRPr="0004683A">
              <w:rPr>
                <w:rFonts w:hint="eastAsia"/>
              </w:rPr>
              <w:t>50</w:t>
            </w:r>
            <w:r w:rsidRPr="0004683A">
              <w:rPr>
                <w:rFonts w:hint="eastAsia"/>
              </w:rPr>
              <w:t>个运维账号数量，最高可扩展至</w:t>
            </w:r>
            <w:r w:rsidRPr="0004683A">
              <w:rPr>
                <w:rFonts w:hint="eastAsia"/>
              </w:rPr>
              <w:t>100</w:t>
            </w:r>
            <w:r w:rsidRPr="0004683A">
              <w:rPr>
                <w:rFonts w:hint="eastAsia"/>
              </w:rPr>
              <w:t>个</w:t>
            </w:r>
          </w:p>
        </w:tc>
      </w:tr>
      <w:tr w:rsidR="00003964" w:rsidRPr="00BC16B7" w14:paraId="379BFBD7" w14:textId="77777777" w:rsidTr="009657EB">
        <w:trPr>
          <w:trHeight w:val="285"/>
        </w:trPr>
        <w:tc>
          <w:tcPr>
            <w:tcW w:w="510" w:type="pct"/>
            <w:vMerge/>
            <w:tcBorders>
              <w:top w:val="nil"/>
              <w:left w:val="single" w:sz="8" w:space="0" w:color="000000"/>
              <w:bottom w:val="nil"/>
              <w:right w:val="single" w:sz="8" w:space="0" w:color="000000"/>
            </w:tcBorders>
            <w:vAlign w:val="center"/>
            <w:hideMark/>
          </w:tcPr>
          <w:p w14:paraId="144F1825" w14:textId="77777777" w:rsidR="00003964" w:rsidRPr="00BC16B7" w:rsidRDefault="00003964" w:rsidP="00003964">
            <w:pPr>
              <w:widowControl/>
              <w:jc w:val="left"/>
              <w:rPr>
                <w:rFonts w:ascii="宋体" w:eastAsia="宋体" w:hAnsi="宋体" w:cs="宋体"/>
                <w:color w:val="000000"/>
                <w:kern w:val="0"/>
                <w:szCs w:val="21"/>
              </w:rPr>
            </w:pPr>
          </w:p>
        </w:tc>
        <w:tc>
          <w:tcPr>
            <w:tcW w:w="348" w:type="pct"/>
            <w:vMerge/>
            <w:tcBorders>
              <w:top w:val="nil"/>
              <w:left w:val="single" w:sz="8" w:space="0" w:color="000000"/>
              <w:bottom w:val="nil"/>
              <w:right w:val="single" w:sz="8" w:space="0" w:color="000000"/>
            </w:tcBorders>
            <w:vAlign w:val="center"/>
            <w:hideMark/>
          </w:tcPr>
          <w:p w14:paraId="395DF74B" w14:textId="77777777" w:rsidR="00003964" w:rsidRPr="00BC16B7" w:rsidRDefault="00003964" w:rsidP="00003964">
            <w:pPr>
              <w:widowControl/>
              <w:jc w:val="left"/>
              <w:rPr>
                <w:rFonts w:ascii="宋体" w:eastAsia="宋体" w:hAnsi="宋体" w:cs="宋体"/>
                <w:color w:val="000000"/>
                <w:kern w:val="0"/>
                <w:szCs w:val="21"/>
              </w:rPr>
            </w:pPr>
          </w:p>
        </w:tc>
        <w:tc>
          <w:tcPr>
            <w:tcW w:w="4142" w:type="pct"/>
            <w:tcBorders>
              <w:top w:val="nil"/>
              <w:left w:val="nil"/>
              <w:bottom w:val="single" w:sz="8" w:space="0" w:color="000000"/>
              <w:right w:val="single" w:sz="8" w:space="0" w:color="000000"/>
            </w:tcBorders>
            <w:shd w:val="clear" w:color="auto" w:fill="auto"/>
            <w:hideMark/>
          </w:tcPr>
          <w:p w14:paraId="64E4C665" w14:textId="07020B20" w:rsidR="00003964" w:rsidRPr="00BC16B7" w:rsidRDefault="00003964" w:rsidP="00003964">
            <w:pPr>
              <w:widowControl/>
              <w:jc w:val="left"/>
              <w:rPr>
                <w:rFonts w:ascii="宋体" w:eastAsia="宋体" w:hAnsi="宋体" w:cs="宋体"/>
                <w:color w:val="000000"/>
                <w:kern w:val="0"/>
                <w:szCs w:val="21"/>
              </w:rPr>
            </w:pPr>
            <w:r w:rsidRPr="0004683A">
              <w:rPr>
                <w:rFonts w:hint="eastAsia"/>
              </w:rPr>
              <w:t>2U</w:t>
            </w:r>
            <w:r w:rsidRPr="0004683A">
              <w:rPr>
                <w:rFonts w:hint="eastAsia"/>
              </w:rPr>
              <w:t>机架式（专用硬件平台），冗余交流电源，</w:t>
            </w:r>
            <w:r w:rsidRPr="0004683A">
              <w:rPr>
                <w:rFonts w:hint="eastAsia"/>
              </w:rPr>
              <w:t>2*GE</w:t>
            </w:r>
            <w:r w:rsidRPr="0004683A">
              <w:rPr>
                <w:rFonts w:hint="eastAsia"/>
              </w:rPr>
              <w:t>板载管理口，</w:t>
            </w:r>
            <w:r w:rsidRPr="0004683A">
              <w:rPr>
                <w:rFonts w:hint="eastAsia"/>
              </w:rPr>
              <w:t>4*GE</w:t>
            </w:r>
            <w:r w:rsidRPr="0004683A">
              <w:rPr>
                <w:rFonts w:hint="eastAsia"/>
              </w:rPr>
              <w:t>板载接口，</w:t>
            </w:r>
            <w:r w:rsidRPr="0004683A">
              <w:rPr>
                <w:rFonts w:hint="eastAsia"/>
              </w:rPr>
              <w:t>2</w:t>
            </w:r>
            <w:r w:rsidRPr="0004683A">
              <w:rPr>
                <w:rFonts w:hint="eastAsia"/>
              </w:rPr>
              <w:t>×接口板卡插槽。</w:t>
            </w:r>
            <w:r w:rsidRPr="0004683A">
              <w:rPr>
                <w:rFonts w:hint="eastAsia"/>
              </w:rPr>
              <w:t>32GB</w:t>
            </w:r>
            <w:r w:rsidRPr="0004683A">
              <w:rPr>
                <w:rFonts w:hint="eastAsia"/>
              </w:rPr>
              <w:t>内存，</w:t>
            </w:r>
            <w:r w:rsidRPr="0004683A">
              <w:rPr>
                <w:rFonts w:hint="eastAsia"/>
              </w:rPr>
              <w:t>1</w:t>
            </w:r>
            <w:r w:rsidRPr="0004683A">
              <w:rPr>
                <w:rFonts w:hint="eastAsia"/>
              </w:rPr>
              <w:t>×</w:t>
            </w:r>
            <w:r w:rsidRPr="0004683A">
              <w:rPr>
                <w:rFonts w:hint="eastAsia"/>
              </w:rPr>
              <w:t>4TB</w:t>
            </w:r>
            <w:r w:rsidRPr="0004683A">
              <w:rPr>
                <w:rFonts w:hint="eastAsia"/>
              </w:rPr>
              <w:t>硬盘。</w:t>
            </w:r>
          </w:p>
        </w:tc>
      </w:tr>
      <w:tr w:rsidR="00003964" w:rsidRPr="00BC16B7" w14:paraId="121DD5F8" w14:textId="77777777" w:rsidTr="009657EB">
        <w:trPr>
          <w:trHeight w:val="270"/>
        </w:trPr>
        <w:tc>
          <w:tcPr>
            <w:tcW w:w="510"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6193733" w14:textId="77777777" w:rsidR="00003964" w:rsidRPr="00BC16B7" w:rsidRDefault="00003964" w:rsidP="00003964">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2</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67A666" w14:textId="77777777" w:rsidR="00003964" w:rsidRPr="00BC16B7" w:rsidRDefault="00003964" w:rsidP="00003964">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协议支持</w:t>
            </w:r>
          </w:p>
        </w:tc>
        <w:tc>
          <w:tcPr>
            <w:tcW w:w="4142" w:type="pct"/>
            <w:tcBorders>
              <w:top w:val="nil"/>
              <w:left w:val="nil"/>
              <w:bottom w:val="nil"/>
              <w:right w:val="single" w:sz="8" w:space="0" w:color="000000"/>
            </w:tcBorders>
            <w:shd w:val="clear" w:color="auto" w:fill="auto"/>
            <w:hideMark/>
          </w:tcPr>
          <w:p w14:paraId="63676F18" w14:textId="3FB90965" w:rsidR="00003964" w:rsidRPr="00BC16B7" w:rsidRDefault="00003964" w:rsidP="00744469">
            <w:pPr>
              <w:widowControl/>
              <w:jc w:val="left"/>
              <w:rPr>
                <w:rFonts w:ascii="宋体" w:eastAsia="宋体" w:hAnsi="宋体" w:cs="宋体"/>
                <w:color w:val="000000"/>
                <w:kern w:val="0"/>
                <w:szCs w:val="21"/>
              </w:rPr>
            </w:pPr>
            <w:r w:rsidRPr="00636762">
              <w:rPr>
                <w:rFonts w:hint="eastAsia"/>
              </w:rPr>
              <w:t>支持国际数据库类型：</w:t>
            </w:r>
            <w:r w:rsidRPr="00636762">
              <w:rPr>
                <w:rFonts w:hint="eastAsia"/>
              </w:rPr>
              <w:t>Oracle</w:t>
            </w:r>
            <w:r w:rsidRPr="00636762">
              <w:rPr>
                <w:rFonts w:hint="eastAsia"/>
              </w:rPr>
              <w:t>、</w:t>
            </w:r>
            <w:r w:rsidRPr="00636762">
              <w:rPr>
                <w:rFonts w:hint="eastAsia"/>
              </w:rPr>
              <w:t>SQL Server</w:t>
            </w:r>
            <w:r w:rsidRPr="00636762">
              <w:rPr>
                <w:rFonts w:hint="eastAsia"/>
              </w:rPr>
              <w:t>、</w:t>
            </w:r>
            <w:r w:rsidRPr="00636762">
              <w:rPr>
                <w:rFonts w:hint="eastAsia"/>
              </w:rPr>
              <w:t>MySQL</w:t>
            </w:r>
            <w:r w:rsidRPr="00636762">
              <w:rPr>
                <w:rFonts w:hint="eastAsia"/>
              </w:rPr>
              <w:t>、</w:t>
            </w:r>
            <w:r w:rsidRPr="00636762">
              <w:rPr>
                <w:rFonts w:hint="eastAsia"/>
              </w:rPr>
              <w:t>PostgreSQL</w:t>
            </w:r>
            <w:r w:rsidRPr="00636762">
              <w:rPr>
                <w:rFonts w:hint="eastAsia"/>
              </w:rPr>
              <w:t>；</w:t>
            </w:r>
          </w:p>
        </w:tc>
      </w:tr>
      <w:tr w:rsidR="00003964" w:rsidRPr="00BC16B7" w14:paraId="72175F40" w14:textId="77777777" w:rsidTr="009657EB">
        <w:trPr>
          <w:trHeight w:val="285"/>
        </w:trPr>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1DA6544D" w14:textId="77777777" w:rsidR="00003964" w:rsidRPr="00BC16B7" w:rsidRDefault="00003964" w:rsidP="00003964">
            <w:pPr>
              <w:widowControl/>
              <w:jc w:val="left"/>
              <w:rPr>
                <w:rFonts w:ascii="宋体" w:eastAsia="宋体" w:hAnsi="宋体" w:cs="宋体"/>
                <w:color w:val="000000"/>
                <w:kern w:val="0"/>
                <w:szCs w:val="21"/>
              </w:rPr>
            </w:pPr>
          </w:p>
        </w:tc>
        <w:tc>
          <w:tcPr>
            <w:tcW w:w="348" w:type="pct"/>
            <w:vMerge/>
            <w:tcBorders>
              <w:top w:val="single" w:sz="8" w:space="0" w:color="000000"/>
              <w:left w:val="single" w:sz="8" w:space="0" w:color="000000"/>
              <w:bottom w:val="single" w:sz="8" w:space="0" w:color="000000"/>
              <w:right w:val="single" w:sz="8" w:space="0" w:color="000000"/>
            </w:tcBorders>
            <w:vAlign w:val="center"/>
            <w:hideMark/>
          </w:tcPr>
          <w:p w14:paraId="10FCD336" w14:textId="77777777" w:rsidR="00003964" w:rsidRPr="00BC16B7" w:rsidRDefault="00003964" w:rsidP="00003964">
            <w:pPr>
              <w:widowControl/>
              <w:jc w:val="left"/>
              <w:rPr>
                <w:rFonts w:ascii="宋体" w:eastAsia="宋体" w:hAnsi="宋体" w:cs="宋体"/>
                <w:color w:val="000000"/>
                <w:kern w:val="0"/>
                <w:szCs w:val="21"/>
              </w:rPr>
            </w:pPr>
          </w:p>
        </w:tc>
        <w:tc>
          <w:tcPr>
            <w:tcW w:w="4142" w:type="pct"/>
            <w:tcBorders>
              <w:top w:val="nil"/>
              <w:left w:val="nil"/>
              <w:bottom w:val="single" w:sz="8" w:space="0" w:color="000000"/>
              <w:right w:val="single" w:sz="8" w:space="0" w:color="000000"/>
            </w:tcBorders>
            <w:shd w:val="clear" w:color="auto" w:fill="auto"/>
            <w:hideMark/>
          </w:tcPr>
          <w:p w14:paraId="3246961F" w14:textId="77777777" w:rsidR="00003964" w:rsidRDefault="00003964" w:rsidP="00003964">
            <w:pPr>
              <w:widowControl/>
              <w:jc w:val="left"/>
            </w:pPr>
            <w:r w:rsidRPr="00636762">
              <w:rPr>
                <w:rFonts w:hint="eastAsia"/>
              </w:rPr>
              <w:t>支持国产数据库：</w:t>
            </w:r>
            <w:r w:rsidRPr="00636762">
              <w:rPr>
                <w:rFonts w:hint="eastAsia"/>
              </w:rPr>
              <w:t>DM</w:t>
            </w:r>
            <w:r w:rsidRPr="00636762">
              <w:rPr>
                <w:rFonts w:hint="eastAsia"/>
              </w:rPr>
              <w:t>、</w:t>
            </w:r>
            <w:r w:rsidRPr="00636762">
              <w:rPr>
                <w:rFonts w:hint="eastAsia"/>
              </w:rPr>
              <w:t>CirroData</w:t>
            </w:r>
            <w:r w:rsidRPr="00636762">
              <w:rPr>
                <w:rFonts w:hint="eastAsia"/>
              </w:rPr>
              <w:t>、</w:t>
            </w:r>
            <w:r w:rsidRPr="00636762">
              <w:rPr>
                <w:rFonts w:hint="eastAsia"/>
              </w:rPr>
              <w:t>TeleDB</w:t>
            </w:r>
            <w:r w:rsidRPr="00636762">
              <w:rPr>
                <w:rFonts w:hint="eastAsia"/>
              </w:rPr>
              <w:t>、</w:t>
            </w:r>
            <w:r w:rsidRPr="00636762">
              <w:rPr>
                <w:rFonts w:hint="eastAsia"/>
              </w:rPr>
              <w:t>TelePG</w:t>
            </w:r>
            <w:r w:rsidRPr="00636762">
              <w:rPr>
                <w:rFonts w:hint="eastAsia"/>
              </w:rPr>
              <w:t>、</w:t>
            </w:r>
            <w:r w:rsidRPr="00636762">
              <w:rPr>
                <w:rFonts w:hint="eastAsia"/>
              </w:rPr>
              <w:t>GBase 8a</w:t>
            </w:r>
            <w:r w:rsidRPr="00636762">
              <w:rPr>
                <w:rFonts w:hint="eastAsia"/>
              </w:rPr>
              <w:t>；</w:t>
            </w:r>
          </w:p>
          <w:p w14:paraId="4E3F6BCC" w14:textId="083EBCB0" w:rsidR="00003964" w:rsidRPr="00BC16B7" w:rsidRDefault="00003964" w:rsidP="00003964">
            <w:pPr>
              <w:widowControl/>
              <w:jc w:val="left"/>
              <w:rPr>
                <w:rFonts w:ascii="宋体" w:eastAsia="宋体" w:hAnsi="宋体" w:cs="宋体"/>
                <w:color w:val="000000"/>
                <w:kern w:val="0"/>
                <w:szCs w:val="21"/>
              </w:rPr>
            </w:pPr>
            <w:r>
              <w:t>支持</w:t>
            </w:r>
            <w:r>
              <w:rPr>
                <w:rFonts w:hint="eastAsia"/>
              </w:rPr>
              <w:t>H</w:t>
            </w:r>
            <w:r>
              <w:t>IVE</w:t>
            </w:r>
            <w:r>
              <w:t>，</w:t>
            </w:r>
            <w:r w:rsidR="00744469">
              <w:t>Impala</w:t>
            </w:r>
            <w:r w:rsidR="00744469">
              <w:t>等</w:t>
            </w:r>
          </w:p>
        </w:tc>
      </w:tr>
      <w:tr w:rsidR="00BC16B7" w:rsidRPr="00BC16B7" w14:paraId="36EAAAFA" w14:textId="77777777" w:rsidTr="009657EB">
        <w:trPr>
          <w:trHeight w:val="525"/>
        </w:trPr>
        <w:tc>
          <w:tcPr>
            <w:tcW w:w="510" w:type="pct"/>
            <w:tcBorders>
              <w:top w:val="nil"/>
              <w:left w:val="single" w:sz="8" w:space="0" w:color="000000"/>
              <w:bottom w:val="single" w:sz="8" w:space="0" w:color="000000"/>
              <w:right w:val="single" w:sz="8" w:space="0" w:color="000000"/>
            </w:tcBorders>
            <w:shd w:val="clear" w:color="auto" w:fill="auto"/>
            <w:noWrap/>
            <w:vAlign w:val="center"/>
            <w:hideMark/>
          </w:tcPr>
          <w:p w14:paraId="05AE1AE8"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3</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tcBorders>
              <w:top w:val="nil"/>
              <w:left w:val="nil"/>
              <w:bottom w:val="single" w:sz="8" w:space="0" w:color="000000"/>
              <w:right w:val="single" w:sz="8" w:space="0" w:color="000000"/>
            </w:tcBorders>
            <w:shd w:val="clear" w:color="auto" w:fill="auto"/>
            <w:vAlign w:val="center"/>
            <w:hideMark/>
          </w:tcPr>
          <w:p w14:paraId="034AE51E"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密码代填</w:t>
            </w:r>
          </w:p>
        </w:tc>
        <w:tc>
          <w:tcPr>
            <w:tcW w:w="4142" w:type="pct"/>
            <w:tcBorders>
              <w:top w:val="nil"/>
              <w:left w:val="nil"/>
              <w:bottom w:val="single" w:sz="8" w:space="0" w:color="000000"/>
              <w:right w:val="single" w:sz="8" w:space="0" w:color="000000"/>
            </w:tcBorders>
            <w:shd w:val="clear" w:color="auto" w:fill="auto"/>
            <w:vAlign w:val="center"/>
            <w:hideMark/>
          </w:tcPr>
          <w:p w14:paraId="6B44512A" w14:textId="4EFA59AA" w:rsidR="00BC16B7" w:rsidRPr="00BC76B4" w:rsidRDefault="00BC76B4" w:rsidP="00BC76B4">
            <w:r>
              <w:rPr>
                <w:rFonts w:hint="eastAsia"/>
              </w:rPr>
              <w:t>基于系统内运维自然人身份关联数据库账号，使每一个运维人员都具有专属的运维账号密码，实现数据库账号及密码对运维人员保密的前提下开展数据库运维和管理工作。且不需要进行软件安装部署。支持批量录入数据库账号。数据库账号可按组织机构关联；支持批量创建数据库账号与运维人员对应关系。</w:t>
            </w:r>
          </w:p>
        </w:tc>
      </w:tr>
      <w:tr w:rsidR="00BC16B7" w:rsidRPr="00BC16B7" w14:paraId="0B5920DE" w14:textId="77777777" w:rsidTr="009657EB">
        <w:trPr>
          <w:trHeight w:val="270"/>
        </w:trPr>
        <w:tc>
          <w:tcPr>
            <w:tcW w:w="510"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3AE06D2"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4</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488380"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运维申请审批</w:t>
            </w:r>
          </w:p>
        </w:tc>
        <w:tc>
          <w:tcPr>
            <w:tcW w:w="4142" w:type="pct"/>
            <w:tcBorders>
              <w:top w:val="nil"/>
              <w:left w:val="nil"/>
              <w:bottom w:val="nil"/>
              <w:right w:val="single" w:sz="8" w:space="0" w:color="000000"/>
            </w:tcBorders>
            <w:shd w:val="clear" w:color="auto" w:fill="auto"/>
            <w:vAlign w:val="center"/>
            <w:hideMark/>
          </w:tcPr>
          <w:p w14:paraId="46E99DD7" w14:textId="77777777" w:rsidR="00BC16B7" w:rsidRPr="00BC16B7" w:rsidRDefault="00BC16B7" w:rsidP="00BC16B7">
            <w:pPr>
              <w:widowControl/>
              <w:jc w:val="left"/>
              <w:rPr>
                <w:rFonts w:ascii="宋体" w:eastAsia="宋体" w:hAnsi="宋体" w:cs="宋体"/>
                <w:color w:val="000000"/>
                <w:kern w:val="0"/>
                <w:szCs w:val="21"/>
              </w:rPr>
            </w:pPr>
            <w:r w:rsidRPr="00BC16B7">
              <w:rPr>
                <w:rFonts w:ascii="宋体" w:eastAsia="宋体" w:hAnsi="宋体" w:cs="宋体" w:hint="eastAsia"/>
                <w:color w:val="000000"/>
                <w:kern w:val="0"/>
                <w:szCs w:val="21"/>
              </w:rPr>
              <w:t>支持运维人员提交运维申请，选择对应审批人，并根据操作时间指定执行时间段。</w:t>
            </w:r>
          </w:p>
        </w:tc>
      </w:tr>
      <w:tr w:rsidR="00BC16B7" w:rsidRPr="00BC16B7" w14:paraId="50CD226B" w14:textId="77777777" w:rsidTr="009657EB">
        <w:trPr>
          <w:trHeight w:val="510"/>
        </w:trPr>
        <w:tc>
          <w:tcPr>
            <w:tcW w:w="510" w:type="pct"/>
            <w:vMerge/>
            <w:tcBorders>
              <w:top w:val="nil"/>
              <w:left w:val="single" w:sz="8" w:space="0" w:color="000000"/>
              <w:bottom w:val="single" w:sz="8" w:space="0" w:color="000000"/>
              <w:right w:val="single" w:sz="8" w:space="0" w:color="000000"/>
            </w:tcBorders>
            <w:vAlign w:val="center"/>
            <w:hideMark/>
          </w:tcPr>
          <w:p w14:paraId="754E9D5E" w14:textId="77777777" w:rsidR="00BC16B7" w:rsidRPr="00BC16B7" w:rsidRDefault="00BC16B7" w:rsidP="00BC16B7">
            <w:pPr>
              <w:widowControl/>
              <w:jc w:val="left"/>
              <w:rPr>
                <w:rFonts w:ascii="宋体" w:eastAsia="宋体" w:hAnsi="宋体" w:cs="宋体"/>
                <w:color w:val="000000"/>
                <w:kern w:val="0"/>
                <w:szCs w:val="21"/>
              </w:rPr>
            </w:pPr>
          </w:p>
        </w:tc>
        <w:tc>
          <w:tcPr>
            <w:tcW w:w="348" w:type="pct"/>
            <w:vMerge/>
            <w:tcBorders>
              <w:top w:val="nil"/>
              <w:left w:val="single" w:sz="8" w:space="0" w:color="000000"/>
              <w:bottom w:val="single" w:sz="8" w:space="0" w:color="000000"/>
              <w:right w:val="single" w:sz="8" w:space="0" w:color="000000"/>
            </w:tcBorders>
            <w:vAlign w:val="center"/>
            <w:hideMark/>
          </w:tcPr>
          <w:p w14:paraId="63F80C3E" w14:textId="77777777" w:rsidR="00BC16B7" w:rsidRPr="00BC16B7" w:rsidRDefault="00BC16B7" w:rsidP="00BC16B7">
            <w:pPr>
              <w:widowControl/>
              <w:jc w:val="left"/>
              <w:rPr>
                <w:rFonts w:ascii="宋体" w:eastAsia="宋体" w:hAnsi="宋体" w:cs="宋体"/>
                <w:color w:val="000000"/>
                <w:kern w:val="0"/>
                <w:szCs w:val="21"/>
              </w:rPr>
            </w:pPr>
          </w:p>
        </w:tc>
        <w:tc>
          <w:tcPr>
            <w:tcW w:w="4142" w:type="pct"/>
            <w:tcBorders>
              <w:top w:val="nil"/>
              <w:left w:val="nil"/>
              <w:bottom w:val="nil"/>
              <w:right w:val="single" w:sz="8" w:space="0" w:color="000000"/>
            </w:tcBorders>
            <w:shd w:val="clear" w:color="auto" w:fill="auto"/>
            <w:vAlign w:val="center"/>
            <w:hideMark/>
          </w:tcPr>
          <w:p w14:paraId="3DFA9258" w14:textId="77777777" w:rsidR="00BC16B7" w:rsidRPr="00BC16B7" w:rsidRDefault="00BC16B7" w:rsidP="00BC16B7">
            <w:pPr>
              <w:widowControl/>
              <w:jc w:val="left"/>
              <w:rPr>
                <w:rFonts w:ascii="宋体" w:eastAsia="宋体" w:hAnsi="宋体" w:cs="宋体"/>
                <w:color w:val="000000"/>
                <w:kern w:val="0"/>
                <w:szCs w:val="21"/>
              </w:rPr>
            </w:pPr>
            <w:r w:rsidRPr="00BC16B7">
              <w:rPr>
                <w:rFonts w:ascii="宋体" w:eastAsia="宋体" w:hAnsi="宋体" w:cs="宋体" w:hint="eastAsia"/>
                <w:color w:val="000000"/>
                <w:kern w:val="0"/>
                <w:szCs w:val="21"/>
              </w:rPr>
              <w:t>支持运维人员按实际操作的语句行为提交运维申请，包括访问来源（IP、数据库用户、客户端工具），可对全部对象或指定对象进行SQL操作行为申请。</w:t>
            </w:r>
          </w:p>
        </w:tc>
      </w:tr>
      <w:tr w:rsidR="00BC16B7" w:rsidRPr="00BC16B7" w14:paraId="709DD0A6" w14:textId="77777777" w:rsidTr="009657EB">
        <w:trPr>
          <w:trHeight w:val="270"/>
        </w:trPr>
        <w:tc>
          <w:tcPr>
            <w:tcW w:w="510" w:type="pct"/>
            <w:vMerge/>
            <w:tcBorders>
              <w:top w:val="nil"/>
              <w:left w:val="single" w:sz="8" w:space="0" w:color="000000"/>
              <w:bottom w:val="single" w:sz="8" w:space="0" w:color="000000"/>
              <w:right w:val="single" w:sz="8" w:space="0" w:color="000000"/>
            </w:tcBorders>
            <w:vAlign w:val="center"/>
            <w:hideMark/>
          </w:tcPr>
          <w:p w14:paraId="68AE44A6" w14:textId="77777777" w:rsidR="00BC16B7" w:rsidRPr="00BC16B7" w:rsidRDefault="00BC16B7" w:rsidP="00BC16B7">
            <w:pPr>
              <w:widowControl/>
              <w:jc w:val="left"/>
              <w:rPr>
                <w:rFonts w:ascii="宋体" w:eastAsia="宋体" w:hAnsi="宋体" w:cs="宋体"/>
                <w:color w:val="000000"/>
                <w:kern w:val="0"/>
                <w:szCs w:val="21"/>
              </w:rPr>
            </w:pPr>
          </w:p>
        </w:tc>
        <w:tc>
          <w:tcPr>
            <w:tcW w:w="348" w:type="pct"/>
            <w:vMerge/>
            <w:tcBorders>
              <w:top w:val="nil"/>
              <w:left w:val="single" w:sz="8" w:space="0" w:color="000000"/>
              <w:bottom w:val="single" w:sz="8" w:space="0" w:color="000000"/>
              <w:right w:val="single" w:sz="8" w:space="0" w:color="000000"/>
            </w:tcBorders>
            <w:vAlign w:val="center"/>
            <w:hideMark/>
          </w:tcPr>
          <w:p w14:paraId="008C9616" w14:textId="77777777" w:rsidR="00BC16B7" w:rsidRPr="00BC16B7" w:rsidRDefault="00BC16B7" w:rsidP="00BC16B7">
            <w:pPr>
              <w:widowControl/>
              <w:jc w:val="left"/>
              <w:rPr>
                <w:rFonts w:ascii="宋体" w:eastAsia="宋体" w:hAnsi="宋体" w:cs="宋体"/>
                <w:color w:val="000000"/>
                <w:kern w:val="0"/>
                <w:szCs w:val="21"/>
              </w:rPr>
            </w:pPr>
          </w:p>
        </w:tc>
        <w:tc>
          <w:tcPr>
            <w:tcW w:w="4142" w:type="pct"/>
            <w:tcBorders>
              <w:top w:val="nil"/>
              <w:left w:val="nil"/>
              <w:bottom w:val="nil"/>
              <w:right w:val="single" w:sz="8" w:space="0" w:color="000000"/>
            </w:tcBorders>
            <w:shd w:val="clear" w:color="auto" w:fill="auto"/>
            <w:vAlign w:val="center"/>
            <w:hideMark/>
          </w:tcPr>
          <w:p w14:paraId="2C666E2F" w14:textId="77777777" w:rsidR="00BC16B7" w:rsidRPr="00BC16B7" w:rsidRDefault="00BC16B7" w:rsidP="00BC16B7">
            <w:pPr>
              <w:widowControl/>
              <w:jc w:val="left"/>
              <w:rPr>
                <w:rFonts w:ascii="宋体" w:eastAsia="宋体" w:hAnsi="宋体" w:cs="宋体"/>
                <w:color w:val="000000"/>
                <w:kern w:val="0"/>
                <w:szCs w:val="21"/>
              </w:rPr>
            </w:pPr>
            <w:r w:rsidRPr="00BC16B7">
              <w:rPr>
                <w:rFonts w:ascii="宋体" w:eastAsia="宋体" w:hAnsi="宋体" w:cs="宋体" w:hint="eastAsia"/>
                <w:color w:val="000000"/>
                <w:kern w:val="0"/>
                <w:szCs w:val="21"/>
              </w:rPr>
              <w:t>支持运维人员以完整SQL语句形式提交运维操作申请；在提交语句申请时，可选择一次申请单条或多条语句。</w:t>
            </w:r>
          </w:p>
        </w:tc>
      </w:tr>
      <w:tr w:rsidR="00BC16B7" w:rsidRPr="00BC16B7" w14:paraId="2A238204" w14:textId="77777777" w:rsidTr="009657EB">
        <w:trPr>
          <w:trHeight w:val="285"/>
        </w:trPr>
        <w:tc>
          <w:tcPr>
            <w:tcW w:w="510" w:type="pct"/>
            <w:vMerge/>
            <w:tcBorders>
              <w:top w:val="nil"/>
              <w:left w:val="single" w:sz="8" w:space="0" w:color="000000"/>
              <w:bottom w:val="single" w:sz="8" w:space="0" w:color="000000"/>
              <w:right w:val="single" w:sz="8" w:space="0" w:color="000000"/>
            </w:tcBorders>
            <w:vAlign w:val="center"/>
            <w:hideMark/>
          </w:tcPr>
          <w:p w14:paraId="715A51E5" w14:textId="77777777" w:rsidR="00BC16B7" w:rsidRPr="00BC16B7" w:rsidRDefault="00BC16B7" w:rsidP="00BC16B7">
            <w:pPr>
              <w:widowControl/>
              <w:jc w:val="left"/>
              <w:rPr>
                <w:rFonts w:ascii="宋体" w:eastAsia="宋体" w:hAnsi="宋体" w:cs="宋体"/>
                <w:color w:val="000000"/>
                <w:kern w:val="0"/>
                <w:szCs w:val="21"/>
              </w:rPr>
            </w:pPr>
          </w:p>
        </w:tc>
        <w:tc>
          <w:tcPr>
            <w:tcW w:w="348" w:type="pct"/>
            <w:vMerge/>
            <w:tcBorders>
              <w:top w:val="nil"/>
              <w:left w:val="single" w:sz="8" w:space="0" w:color="000000"/>
              <w:bottom w:val="single" w:sz="8" w:space="0" w:color="000000"/>
              <w:right w:val="single" w:sz="8" w:space="0" w:color="000000"/>
            </w:tcBorders>
            <w:vAlign w:val="center"/>
            <w:hideMark/>
          </w:tcPr>
          <w:p w14:paraId="3104C1D7" w14:textId="77777777" w:rsidR="00BC16B7" w:rsidRPr="00BC16B7" w:rsidRDefault="00BC16B7" w:rsidP="00BC16B7">
            <w:pPr>
              <w:widowControl/>
              <w:jc w:val="left"/>
              <w:rPr>
                <w:rFonts w:ascii="宋体" w:eastAsia="宋体" w:hAnsi="宋体" w:cs="宋体"/>
                <w:color w:val="000000"/>
                <w:kern w:val="0"/>
                <w:szCs w:val="21"/>
              </w:rPr>
            </w:pPr>
          </w:p>
        </w:tc>
        <w:tc>
          <w:tcPr>
            <w:tcW w:w="4142" w:type="pct"/>
            <w:tcBorders>
              <w:top w:val="nil"/>
              <w:left w:val="nil"/>
              <w:bottom w:val="single" w:sz="8" w:space="0" w:color="000000"/>
              <w:right w:val="single" w:sz="8" w:space="0" w:color="000000"/>
            </w:tcBorders>
            <w:shd w:val="clear" w:color="auto" w:fill="auto"/>
            <w:vAlign w:val="center"/>
            <w:hideMark/>
          </w:tcPr>
          <w:p w14:paraId="1E8D347E" w14:textId="77777777" w:rsidR="00BC16B7" w:rsidRPr="00BC16B7" w:rsidRDefault="00BC16B7" w:rsidP="00BC16B7">
            <w:pPr>
              <w:widowControl/>
              <w:jc w:val="left"/>
              <w:rPr>
                <w:rFonts w:ascii="宋体" w:eastAsia="宋体" w:hAnsi="宋体" w:cs="宋体"/>
                <w:color w:val="000000"/>
                <w:kern w:val="0"/>
                <w:szCs w:val="21"/>
              </w:rPr>
            </w:pPr>
            <w:r w:rsidRPr="00BC16B7">
              <w:rPr>
                <w:rFonts w:ascii="宋体" w:eastAsia="宋体" w:hAnsi="宋体" w:cs="宋体" w:hint="eastAsia"/>
                <w:color w:val="000000"/>
                <w:kern w:val="0"/>
                <w:szCs w:val="21"/>
              </w:rPr>
              <w:t>支持多级审批账户对提交的运维申请动作进行审批；</w:t>
            </w:r>
          </w:p>
        </w:tc>
      </w:tr>
      <w:tr w:rsidR="00BC16B7" w:rsidRPr="00BC16B7" w14:paraId="1C957A1F" w14:textId="77777777" w:rsidTr="009657EB">
        <w:trPr>
          <w:trHeight w:val="525"/>
        </w:trPr>
        <w:tc>
          <w:tcPr>
            <w:tcW w:w="510" w:type="pct"/>
            <w:tcBorders>
              <w:top w:val="nil"/>
              <w:left w:val="single" w:sz="8" w:space="0" w:color="000000"/>
              <w:bottom w:val="single" w:sz="8" w:space="0" w:color="000000"/>
              <w:right w:val="single" w:sz="8" w:space="0" w:color="000000"/>
            </w:tcBorders>
            <w:shd w:val="clear" w:color="auto" w:fill="auto"/>
            <w:noWrap/>
            <w:vAlign w:val="center"/>
            <w:hideMark/>
          </w:tcPr>
          <w:p w14:paraId="2F3FAECB"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5</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tcBorders>
              <w:top w:val="nil"/>
              <w:left w:val="nil"/>
              <w:bottom w:val="single" w:sz="8" w:space="0" w:color="000000"/>
              <w:right w:val="single" w:sz="8" w:space="0" w:color="000000"/>
            </w:tcBorders>
            <w:shd w:val="clear" w:color="auto" w:fill="auto"/>
            <w:vAlign w:val="center"/>
            <w:hideMark/>
          </w:tcPr>
          <w:p w14:paraId="39216555"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运维流程</w:t>
            </w:r>
            <w:r w:rsidRPr="00BC16B7">
              <w:rPr>
                <w:rFonts w:ascii="宋体" w:eastAsia="宋体" w:hAnsi="宋体" w:cs="宋体" w:hint="eastAsia"/>
                <w:color w:val="000000"/>
                <w:kern w:val="0"/>
                <w:szCs w:val="21"/>
              </w:rPr>
              <w:lastRenderedPageBreak/>
              <w:t>审计</w:t>
            </w:r>
          </w:p>
        </w:tc>
        <w:tc>
          <w:tcPr>
            <w:tcW w:w="4142" w:type="pct"/>
            <w:tcBorders>
              <w:top w:val="nil"/>
              <w:left w:val="nil"/>
              <w:bottom w:val="single" w:sz="8" w:space="0" w:color="000000"/>
              <w:right w:val="single" w:sz="8" w:space="0" w:color="000000"/>
            </w:tcBorders>
            <w:shd w:val="clear" w:color="auto" w:fill="auto"/>
            <w:vAlign w:val="center"/>
            <w:hideMark/>
          </w:tcPr>
          <w:p w14:paraId="734FD64D" w14:textId="77777777" w:rsidR="00BC76B4" w:rsidRDefault="00BC76B4" w:rsidP="00BC76B4">
            <w:r>
              <w:rPr>
                <w:rFonts w:hint="eastAsia"/>
              </w:rPr>
              <w:lastRenderedPageBreak/>
              <w:t>支持对运维人员的申请类型、申请内容、申请时间、审批人、审批状态进行查看。支持审批人快捷查看所有待审批申请。</w:t>
            </w:r>
          </w:p>
          <w:p w14:paraId="51394193" w14:textId="3B7A4B65" w:rsidR="00BC16B7" w:rsidRPr="00BC16B7" w:rsidRDefault="00BC76B4" w:rsidP="00BC76B4">
            <w:pPr>
              <w:widowControl/>
              <w:jc w:val="left"/>
              <w:rPr>
                <w:rFonts w:ascii="宋体" w:eastAsia="宋体" w:hAnsi="宋体" w:cs="宋体"/>
                <w:color w:val="000000"/>
                <w:kern w:val="0"/>
                <w:szCs w:val="21"/>
              </w:rPr>
            </w:pPr>
            <w:r>
              <w:rPr>
                <w:rFonts w:hint="eastAsia"/>
              </w:rPr>
              <w:t>支持将申请审批信息与执行语句进行关联分析。</w:t>
            </w:r>
          </w:p>
        </w:tc>
      </w:tr>
      <w:tr w:rsidR="00BC16B7" w:rsidRPr="00BC16B7" w14:paraId="665D0C05" w14:textId="77777777" w:rsidTr="009657EB">
        <w:trPr>
          <w:trHeight w:val="270"/>
        </w:trPr>
        <w:tc>
          <w:tcPr>
            <w:tcW w:w="510"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D7AC94F"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lastRenderedPageBreak/>
              <w:t>6</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89B191"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防护能力</w:t>
            </w:r>
          </w:p>
        </w:tc>
        <w:tc>
          <w:tcPr>
            <w:tcW w:w="4142" w:type="pct"/>
            <w:tcBorders>
              <w:top w:val="nil"/>
              <w:left w:val="nil"/>
              <w:bottom w:val="nil"/>
              <w:right w:val="single" w:sz="8" w:space="0" w:color="000000"/>
            </w:tcBorders>
            <w:shd w:val="clear" w:color="auto" w:fill="auto"/>
            <w:vAlign w:val="center"/>
            <w:hideMark/>
          </w:tcPr>
          <w:p w14:paraId="3C592C7F" w14:textId="508266C8" w:rsidR="00BC76B4" w:rsidRDefault="00BC76B4" w:rsidP="00BC76B4">
            <w:r>
              <w:rPr>
                <w:rFonts w:hint="eastAsia"/>
              </w:rPr>
              <w:t>支持两种防护模式：</w:t>
            </w:r>
          </w:p>
          <w:p w14:paraId="440CCE64" w14:textId="77777777" w:rsidR="00BC76B4" w:rsidRDefault="00BC76B4" w:rsidP="00BC76B4">
            <w:r>
              <w:rPr>
                <w:rFonts w:hint="eastAsia"/>
              </w:rPr>
              <w:t>会话阻断：支持依照策略配置对存在风险的会话进行阻断；</w:t>
            </w:r>
          </w:p>
          <w:p w14:paraId="3A56AC65" w14:textId="35ADF720" w:rsidR="00BC76B4" w:rsidRDefault="00BC76B4" w:rsidP="00BC76B4">
            <w:r>
              <w:rPr>
                <w:rFonts w:hint="eastAsia"/>
              </w:rPr>
              <w:t>拦截语句：支持依照策略配置对会话中的风险语句进行拦截，但不影响会话原有的连接状态。</w:t>
            </w:r>
          </w:p>
          <w:p w14:paraId="2A205EE8" w14:textId="77777777" w:rsidR="00BC76B4" w:rsidRDefault="00BC76B4" w:rsidP="00BC76B4">
            <w:r>
              <w:rPr>
                <w:rFonts w:hint="eastAsia"/>
              </w:rPr>
              <w:t>支持通过数据库名称、数据库实例、</w:t>
            </w:r>
            <w:r>
              <w:rPr>
                <w:rFonts w:hint="eastAsia"/>
              </w:rPr>
              <w:t>Schema</w:t>
            </w:r>
            <w:r>
              <w:rPr>
                <w:rFonts w:hint="eastAsia"/>
              </w:rPr>
              <w:t>、表名、字段名、函数等关联信息解析和设置防护规则；</w:t>
            </w:r>
          </w:p>
          <w:p w14:paraId="36E5B74F" w14:textId="77777777" w:rsidR="00BC76B4" w:rsidRDefault="00BC76B4" w:rsidP="00BC76B4">
            <w:r>
              <w:rPr>
                <w:rFonts w:hint="eastAsia"/>
              </w:rPr>
              <w:t>内置默认规则，支持场景：高危操作、权限变更、批量数据泄露或篡改、撞库、无</w:t>
            </w:r>
            <w:r>
              <w:rPr>
                <w:rFonts w:hint="eastAsia"/>
              </w:rPr>
              <w:t>where</w:t>
            </w:r>
            <w:r>
              <w:rPr>
                <w:rFonts w:hint="eastAsia"/>
              </w:rPr>
              <w:t>更新或删除、</w:t>
            </w:r>
            <w:r>
              <w:rPr>
                <w:rFonts w:hint="eastAsia"/>
              </w:rPr>
              <w:t>SQL</w:t>
            </w:r>
            <w:r>
              <w:rPr>
                <w:rFonts w:hint="eastAsia"/>
              </w:rPr>
              <w:t>注入、系统表非法操作、错误码提示等。</w:t>
            </w:r>
          </w:p>
          <w:p w14:paraId="25B6210D" w14:textId="77777777" w:rsidR="00BC76B4" w:rsidRDefault="00BC76B4" w:rsidP="00BC76B4">
            <w:r>
              <w:rPr>
                <w:rFonts w:hint="eastAsia"/>
              </w:rPr>
              <w:t>"</w:t>
            </w:r>
            <w:r>
              <w:rPr>
                <w:rFonts w:hint="eastAsia"/>
              </w:rPr>
              <w:t>支持进行敏感访问操作行为防护：</w:t>
            </w:r>
          </w:p>
          <w:p w14:paraId="571EB0E9" w14:textId="77777777" w:rsidR="00BC76B4" w:rsidRDefault="00BC76B4" w:rsidP="00BC76B4">
            <w:r>
              <w:rPr>
                <w:rFonts w:hint="eastAsia"/>
              </w:rPr>
              <w:t>定义非法访问：通过客户端</w:t>
            </w:r>
            <w:r>
              <w:rPr>
                <w:rFonts w:hint="eastAsia"/>
              </w:rPr>
              <w:t>IP</w:t>
            </w:r>
            <w:r>
              <w:rPr>
                <w:rFonts w:hint="eastAsia"/>
              </w:rPr>
              <w:t>、数据库用户、客户端工具、客户端</w:t>
            </w:r>
            <w:r>
              <w:rPr>
                <w:rFonts w:hint="eastAsia"/>
              </w:rPr>
              <w:t>MAC</w:t>
            </w:r>
            <w:r>
              <w:rPr>
                <w:rFonts w:hint="eastAsia"/>
              </w:rPr>
              <w:t>、</w:t>
            </w:r>
            <w:r>
              <w:rPr>
                <w:rFonts w:hint="eastAsia"/>
              </w:rPr>
              <w:t>OS</w:t>
            </w:r>
            <w:r>
              <w:rPr>
                <w:rFonts w:hint="eastAsia"/>
              </w:rPr>
              <w:t>用户、主机名、时间等；</w:t>
            </w:r>
          </w:p>
          <w:p w14:paraId="4F75B588" w14:textId="77777777" w:rsidR="00BC76B4" w:rsidRDefault="00BC76B4" w:rsidP="00BC76B4">
            <w:r>
              <w:rPr>
                <w:rFonts w:hint="eastAsia"/>
              </w:rPr>
              <w:t>管控高危操作、权限变更行为：通过全部对象或指定对象的</w:t>
            </w:r>
            <w:r>
              <w:rPr>
                <w:rFonts w:hint="eastAsia"/>
              </w:rPr>
              <w:t>ALTER TABLE</w:t>
            </w:r>
            <w:r>
              <w:rPr>
                <w:rFonts w:hint="eastAsia"/>
              </w:rPr>
              <w:t>、</w:t>
            </w:r>
            <w:r>
              <w:rPr>
                <w:rFonts w:hint="eastAsia"/>
              </w:rPr>
              <w:t>DROP TABLE</w:t>
            </w:r>
            <w:r>
              <w:rPr>
                <w:rFonts w:hint="eastAsia"/>
              </w:rPr>
              <w:t>、</w:t>
            </w:r>
            <w:r>
              <w:rPr>
                <w:rFonts w:hint="eastAsia"/>
              </w:rPr>
              <w:t>TRUNCATE</w:t>
            </w:r>
            <w:r>
              <w:rPr>
                <w:rFonts w:hint="eastAsia"/>
              </w:rPr>
              <w:t>等高危操作行为拦截；</w:t>
            </w:r>
          </w:p>
          <w:p w14:paraId="71C208E8" w14:textId="77777777" w:rsidR="00BC76B4" w:rsidRDefault="00BC76B4" w:rsidP="00BC76B4">
            <w:r>
              <w:rPr>
                <w:rFonts w:hint="eastAsia"/>
              </w:rPr>
              <w:t>防止大量数据修改、删除、泄露：通过精细化管控受影响数据行数</w:t>
            </w:r>
            <w:r>
              <w:rPr>
                <w:rFonts w:hint="eastAsia"/>
              </w:rPr>
              <w:t>(</w:t>
            </w:r>
            <w:r>
              <w:rPr>
                <w:rFonts w:hint="eastAsia"/>
              </w:rPr>
              <w:t>阀值</w:t>
            </w:r>
            <w:r>
              <w:rPr>
                <w:rFonts w:hint="eastAsia"/>
              </w:rPr>
              <w:t>)</w:t>
            </w:r>
            <w:r>
              <w:rPr>
                <w:rFonts w:hint="eastAsia"/>
              </w:rPr>
              <w:t>，超出阀值的行为进行阻断；拦截</w:t>
            </w:r>
            <w:r>
              <w:rPr>
                <w:rFonts w:hint="eastAsia"/>
              </w:rPr>
              <w:t>no where</w:t>
            </w:r>
            <w:r>
              <w:rPr>
                <w:rFonts w:hint="eastAsia"/>
              </w:rPr>
              <w:t>引起的整表更新、整表清空的误操作；</w:t>
            </w:r>
          </w:p>
          <w:p w14:paraId="18DB04F0" w14:textId="6DEE52C0" w:rsidR="00BC76B4" w:rsidRDefault="00BC76B4" w:rsidP="00BC76B4">
            <w:r>
              <w:rPr>
                <w:rFonts w:hint="eastAsia"/>
              </w:rPr>
              <w:t>支持数据库攻击行为防护：</w:t>
            </w:r>
          </w:p>
          <w:p w14:paraId="255932F9" w14:textId="77777777" w:rsidR="00BC76B4" w:rsidRDefault="00BC76B4" w:rsidP="00BC76B4">
            <w:r>
              <w:rPr>
                <w:rFonts w:hint="eastAsia"/>
              </w:rPr>
              <w:t>支持口令攻击防护，可基于频次判断失败登录风险；</w:t>
            </w:r>
          </w:p>
          <w:p w14:paraId="6A052E61" w14:textId="6AE97E91" w:rsidR="00BC76B4" w:rsidRDefault="00BC76B4" w:rsidP="00BC76B4">
            <w:r>
              <w:rPr>
                <w:rFonts w:hint="eastAsia"/>
              </w:rPr>
              <w:t>支持</w:t>
            </w:r>
            <w:r>
              <w:rPr>
                <w:rFonts w:hint="eastAsia"/>
              </w:rPr>
              <w:t>SQL</w:t>
            </w:r>
            <w:r>
              <w:rPr>
                <w:rFonts w:hint="eastAsia"/>
              </w:rPr>
              <w:t>注入、</w:t>
            </w:r>
            <w:r>
              <w:rPr>
                <w:rFonts w:hint="eastAsia"/>
              </w:rPr>
              <w:t>XSS</w:t>
            </w:r>
            <w:r>
              <w:rPr>
                <w:rFonts w:hint="eastAsia"/>
              </w:rPr>
              <w:t>跨站攻击等外部行为防护。</w:t>
            </w:r>
          </w:p>
          <w:p w14:paraId="63D13AB8" w14:textId="1AA97365" w:rsidR="00BC76B4" w:rsidRDefault="00BC76B4" w:rsidP="00BC76B4">
            <w:r>
              <w:rPr>
                <w:rFonts w:hint="eastAsia"/>
              </w:rPr>
              <w:t>支持数据库漏洞攻击防护：</w:t>
            </w:r>
          </w:p>
          <w:p w14:paraId="6CC68BDE" w14:textId="77777777" w:rsidR="00BC76B4" w:rsidRDefault="00BC76B4" w:rsidP="00BC76B4">
            <w:r>
              <w:rPr>
                <w:rFonts w:hint="eastAsia"/>
              </w:rPr>
              <w:t>提供针对利用已公开的数据库漏洞攻击行为进行拦截的虚拟补丁功能；</w:t>
            </w:r>
          </w:p>
          <w:p w14:paraId="17F0BA7D" w14:textId="77777777" w:rsidR="00BC76B4" w:rsidRDefault="00BC76B4" w:rsidP="00BC76B4">
            <w:r>
              <w:rPr>
                <w:rFonts w:hint="eastAsia"/>
              </w:rPr>
              <w:t>漏洞分类应涵盖：缓冲区溢出、权限提升、拒绝服务攻击等，至少提供</w:t>
            </w:r>
            <w:r>
              <w:rPr>
                <w:rFonts w:hint="eastAsia"/>
              </w:rPr>
              <w:t>450</w:t>
            </w:r>
            <w:r>
              <w:rPr>
                <w:rFonts w:hint="eastAsia"/>
              </w:rPr>
              <w:t>个以上虚拟补丁；</w:t>
            </w:r>
          </w:p>
          <w:p w14:paraId="092F0430" w14:textId="71BCA0C3" w:rsidR="00BC76B4" w:rsidRDefault="00BC76B4" w:rsidP="00BC76B4">
            <w:r>
              <w:rPr>
                <w:rFonts w:hint="eastAsia"/>
              </w:rPr>
              <w:t>漏洞补丁规则管理维度，包括：漏洞名称、</w:t>
            </w:r>
            <w:r>
              <w:rPr>
                <w:rFonts w:hint="eastAsia"/>
              </w:rPr>
              <w:t>CVE</w:t>
            </w:r>
            <w:r>
              <w:rPr>
                <w:rFonts w:hint="eastAsia"/>
              </w:rPr>
              <w:t>标识、</w:t>
            </w:r>
            <w:r>
              <w:rPr>
                <w:rFonts w:hint="eastAsia"/>
              </w:rPr>
              <w:t>CNNVD</w:t>
            </w:r>
            <w:r>
              <w:rPr>
                <w:rFonts w:hint="eastAsia"/>
              </w:rPr>
              <w:t>标识、漏洞类型和影响范围。</w:t>
            </w:r>
          </w:p>
          <w:p w14:paraId="6BC05072" w14:textId="77777777" w:rsidR="00BC76B4" w:rsidRDefault="00BC76B4" w:rsidP="00BC76B4">
            <w:r>
              <w:rPr>
                <w:rFonts w:hint="eastAsia"/>
              </w:rPr>
              <w:t>支持防护白名单，信任特定行为或语句，可以设置为放行审计，也可以设置放行不审计。</w:t>
            </w:r>
          </w:p>
          <w:p w14:paraId="4BDB094B" w14:textId="77777777" w:rsidR="00BC76B4" w:rsidRDefault="00BC76B4" w:rsidP="00BC76B4">
            <w:r>
              <w:rPr>
                <w:rFonts w:hint="eastAsia"/>
              </w:rPr>
              <w:t>支持为单防护规则设置白名单，白名单可设置内容与防护规则所属类型可配置项相同。</w:t>
            </w:r>
          </w:p>
          <w:p w14:paraId="2D006108" w14:textId="77777777" w:rsidR="00BC76B4" w:rsidRDefault="00BC76B4" w:rsidP="00BC76B4">
            <w:r>
              <w:rPr>
                <w:rFonts w:hint="eastAsia"/>
              </w:rPr>
              <w:t>支持针对</w:t>
            </w:r>
            <w:r>
              <w:rPr>
                <w:rFonts w:hint="eastAsia"/>
              </w:rPr>
              <w:t>SQL</w:t>
            </w:r>
            <w:r>
              <w:rPr>
                <w:rFonts w:hint="eastAsia"/>
              </w:rPr>
              <w:t>语句配置防护规则。</w:t>
            </w:r>
          </w:p>
          <w:p w14:paraId="02974122" w14:textId="77777777" w:rsidR="00BC76B4" w:rsidRDefault="00BC76B4" w:rsidP="00BC76B4">
            <w:r>
              <w:rPr>
                <w:rFonts w:hint="eastAsia"/>
              </w:rPr>
              <w:t>支持通过“</w:t>
            </w:r>
            <w:r>
              <w:rPr>
                <w:rFonts w:hint="eastAsia"/>
              </w:rPr>
              <w:t>SQL</w:t>
            </w:r>
            <w:r>
              <w:rPr>
                <w:rFonts w:hint="eastAsia"/>
              </w:rPr>
              <w:t>语句关键字”“</w:t>
            </w:r>
            <w:r>
              <w:rPr>
                <w:rFonts w:hint="eastAsia"/>
              </w:rPr>
              <w:t>SQL</w:t>
            </w:r>
            <w:r>
              <w:rPr>
                <w:rFonts w:hint="eastAsia"/>
              </w:rPr>
              <w:t>语句模板关键字”等条件控制，防止敏感操作执行。</w:t>
            </w:r>
          </w:p>
          <w:p w14:paraId="7FAA64ED" w14:textId="77777777" w:rsidR="00BC76B4" w:rsidRDefault="00BC76B4" w:rsidP="00BC76B4">
            <w:r>
              <w:rPr>
                <w:rFonts w:hint="eastAsia"/>
              </w:rPr>
              <w:t>支持返回错误码、响应时间控制。</w:t>
            </w:r>
          </w:p>
          <w:p w14:paraId="6F6DE7A8" w14:textId="55E3F417" w:rsidR="00BC16B7" w:rsidRPr="00BC76B4" w:rsidRDefault="00BC76B4" w:rsidP="00BC76B4">
            <w:r>
              <w:rPr>
                <w:rFonts w:hint="eastAsia"/>
              </w:rPr>
              <w:t>支持结果集内容作为规则判定的条件，结果集包含敏感数据，则直接拦截或阻断。</w:t>
            </w:r>
          </w:p>
        </w:tc>
      </w:tr>
      <w:tr w:rsidR="00BC16B7" w:rsidRPr="00BC16B7" w14:paraId="342C1A9D" w14:textId="77777777" w:rsidTr="009657EB">
        <w:trPr>
          <w:trHeight w:val="270"/>
        </w:trPr>
        <w:tc>
          <w:tcPr>
            <w:tcW w:w="510" w:type="pct"/>
            <w:vMerge/>
            <w:tcBorders>
              <w:top w:val="nil"/>
              <w:left w:val="single" w:sz="8" w:space="0" w:color="000000"/>
              <w:bottom w:val="single" w:sz="8" w:space="0" w:color="000000"/>
              <w:right w:val="single" w:sz="8" w:space="0" w:color="000000"/>
            </w:tcBorders>
            <w:vAlign w:val="center"/>
            <w:hideMark/>
          </w:tcPr>
          <w:p w14:paraId="1AA2FC8D" w14:textId="77777777" w:rsidR="00BC16B7" w:rsidRPr="00BC16B7" w:rsidRDefault="00BC16B7" w:rsidP="00BC16B7">
            <w:pPr>
              <w:widowControl/>
              <w:jc w:val="left"/>
              <w:rPr>
                <w:rFonts w:ascii="宋体" w:eastAsia="宋体" w:hAnsi="宋体" w:cs="宋体"/>
                <w:color w:val="000000"/>
                <w:kern w:val="0"/>
                <w:szCs w:val="21"/>
              </w:rPr>
            </w:pPr>
          </w:p>
        </w:tc>
        <w:tc>
          <w:tcPr>
            <w:tcW w:w="348" w:type="pct"/>
            <w:vMerge/>
            <w:tcBorders>
              <w:top w:val="nil"/>
              <w:left w:val="single" w:sz="8" w:space="0" w:color="000000"/>
              <w:bottom w:val="single" w:sz="8" w:space="0" w:color="000000"/>
              <w:right w:val="single" w:sz="8" w:space="0" w:color="000000"/>
            </w:tcBorders>
            <w:vAlign w:val="center"/>
            <w:hideMark/>
          </w:tcPr>
          <w:p w14:paraId="79BF73CD" w14:textId="77777777" w:rsidR="00BC16B7" w:rsidRPr="00BC16B7" w:rsidRDefault="00BC16B7" w:rsidP="00BC16B7">
            <w:pPr>
              <w:widowControl/>
              <w:jc w:val="left"/>
              <w:rPr>
                <w:rFonts w:ascii="宋体" w:eastAsia="宋体" w:hAnsi="宋体" w:cs="宋体"/>
                <w:color w:val="000000"/>
                <w:kern w:val="0"/>
                <w:szCs w:val="21"/>
              </w:rPr>
            </w:pPr>
          </w:p>
        </w:tc>
        <w:tc>
          <w:tcPr>
            <w:tcW w:w="4142" w:type="pct"/>
            <w:tcBorders>
              <w:top w:val="nil"/>
              <w:left w:val="nil"/>
              <w:bottom w:val="nil"/>
              <w:right w:val="single" w:sz="8" w:space="0" w:color="000000"/>
            </w:tcBorders>
            <w:shd w:val="clear" w:color="auto" w:fill="auto"/>
            <w:vAlign w:val="center"/>
            <w:hideMark/>
          </w:tcPr>
          <w:p w14:paraId="40CA83B9" w14:textId="194D67ED" w:rsidR="00BC16B7" w:rsidRPr="00BC16B7" w:rsidRDefault="00BC76B4" w:rsidP="00BC76B4">
            <w:pPr>
              <w:widowControl/>
              <w:jc w:val="left"/>
              <w:rPr>
                <w:rFonts w:ascii="宋体" w:eastAsia="宋体" w:hAnsi="宋体" w:cs="宋体"/>
                <w:color w:val="000000"/>
                <w:kern w:val="0"/>
                <w:szCs w:val="21"/>
              </w:rPr>
            </w:pPr>
            <w:r w:rsidRPr="00BC16B7">
              <w:rPr>
                <w:rFonts w:ascii="宋体" w:eastAsia="宋体" w:hAnsi="宋体" w:cs="宋体"/>
                <w:color w:val="000000"/>
                <w:kern w:val="0"/>
                <w:szCs w:val="21"/>
              </w:rPr>
              <w:t xml:space="preserve"> </w:t>
            </w:r>
          </w:p>
        </w:tc>
      </w:tr>
      <w:tr w:rsidR="00BC16B7" w:rsidRPr="00BC16B7" w14:paraId="0F60287C" w14:textId="77777777" w:rsidTr="009657EB">
        <w:trPr>
          <w:trHeight w:val="285"/>
        </w:trPr>
        <w:tc>
          <w:tcPr>
            <w:tcW w:w="510" w:type="pct"/>
            <w:vMerge/>
            <w:tcBorders>
              <w:top w:val="nil"/>
              <w:left w:val="single" w:sz="8" w:space="0" w:color="000000"/>
              <w:bottom w:val="single" w:sz="8" w:space="0" w:color="000000"/>
              <w:right w:val="single" w:sz="8" w:space="0" w:color="000000"/>
            </w:tcBorders>
            <w:vAlign w:val="center"/>
            <w:hideMark/>
          </w:tcPr>
          <w:p w14:paraId="1B05BAAD" w14:textId="77777777" w:rsidR="00BC16B7" w:rsidRPr="00BC16B7" w:rsidRDefault="00BC16B7" w:rsidP="00BC16B7">
            <w:pPr>
              <w:widowControl/>
              <w:jc w:val="left"/>
              <w:rPr>
                <w:rFonts w:ascii="宋体" w:eastAsia="宋体" w:hAnsi="宋体" w:cs="宋体"/>
                <w:color w:val="000000"/>
                <w:kern w:val="0"/>
                <w:szCs w:val="21"/>
              </w:rPr>
            </w:pPr>
          </w:p>
        </w:tc>
        <w:tc>
          <w:tcPr>
            <w:tcW w:w="348" w:type="pct"/>
            <w:vMerge/>
            <w:tcBorders>
              <w:top w:val="nil"/>
              <w:left w:val="single" w:sz="8" w:space="0" w:color="000000"/>
              <w:bottom w:val="single" w:sz="8" w:space="0" w:color="000000"/>
              <w:right w:val="single" w:sz="8" w:space="0" w:color="000000"/>
            </w:tcBorders>
            <w:vAlign w:val="center"/>
            <w:hideMark/>
          </w:tcPr>
          <w:p w14:paraId="45D736D2" w14:textId="77777777" w:rsidR="00BC16B7" w:rsidRPr="00BC16B7" w:rsidRDefault="00BC16B7" w:rsidP="00BC16B7">
            <w:pPr>
              <w:widowControl/>
              <w:jc w:val="left"/>
              <w:rPr>
                <w:rFonts w:ascii="宋体" w:eastAsia="宋体" w:hAnsi="宋体" w:cs="宋体"/>
                <w:color w:val="000000"/>
                <w:kern w:val="0"/>
                <w:szCs w:val="21"/>
              </w:rPr>
            </w:pPr>
          </w:p>
        </w:tc>
        <w:tc>
          <w:tcPr>
            <w:tcW w:w="4142" w:type="pct"/>
            <w:tcBorders>
              <w:top w:val="nil"/>
              <w:left w:val="nil"/>
              <w:bottom w:val="single" w:sz="8" w:space="0" w:color="000000"/>
              <w:right w:val="single" w:sz="8" w:space="0" w:color="000000"/>
            </w:tcBorders>
            <w:shd w:val="clear" w:color="auto" w:fill="auto"/>
            <w:vAlign w:val="center"/>
            <w:hideMark/>
          </w:tcPr>
          <w:p w14:paraId="6C5EE410" w14:textId="53D4A3EE" w:rsidR="00BC16B7" w:rsidRPr="00BC16B7" w:rsidRDefault="00BC16B7" w:rsidP="00BC16B7">
            <w:pPr>
              <w:widowControl/>
              <w:jc w:val="left"/>
              <w:rPr>
                <w:rFonts w:ascii="宋体" w:eastAsia="宋体" w:hAnsi="宋体" w:cs="宋体"/>
                <w:color w:val="000000"/>
                <w:kern w:val="0"/>
                <w:szCs w:val="21"/>
              </w:rPr>
            </w:pPr>
          </w:p>
        </w:tc>
      </w:tr>
      <w:tr w:rsidR="00BC16B7" w:rsidRPr="00BC16B7" w14:paraId="7C02BBD1" w14:textId="77777777" w:rsidTr="009657EB">
        <w:trPr>
          <w:trHeight w:val="525"/>
        </w:trPr>
        <w:tc>
          <w:tcPr>
            <w:tcW w:w="510" w:type="pct"/>
            <w:tcBorders>
              <w:top w:val="nil"/>
              <w:left w:val="single" w:sz="8" w:space="0" w:color="000000"/>
              <w:bottom w:val="single" w:sz="4" w:space="0" w:color="auto"/>
              <w:right w:val="single" w:sz="8" w:space="0" w:color="000000"/>
            </w:tcBorders>
            <w:shd w:val="clear" w:color="auto" w:fill="auto"/>
            <w:noWrap/>
            <w:vAlign w:val="center"/>
            <w:hideMark/>
          </w:tcPr>
          <w:p w14:paraId="76FDDB76"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7</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tcBorders>
              <w:top w:val="nil"/>
              <w:left w:val="nil"/>
              <w:bottom w:val="single" w:sz="4" w:space="0" w:color="auto"/>
              <w:right w:val="single" w:sz="8" w:space="0" w:color="000000"/>
            </w:tcBorders>
            <w:shd w:val="clear" w:color="auto" w:fill="auto"/>
            <w:vAlign w:val="center"/>
            <w:hideMark/>
          </w:tcPr>
          <w:p w14:paraId="03D92379" w14:textId="77777777" w:rsidR="00BC16B7" w:rsidRPr="00BC16B7" w:rsidRDefault="00BC16B7" w:rsidP="00BC16B7">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敏感数据</w:t>
            </w:r>
            <w:r w:rsidRPr="00BC16B7">
              <w:rPr>
                <w:rFonts w:ascii="宋体" w:eastAsia="宋体" w:hAnsi="宋体" w:cs="宋体" w:hint="eastAsia"/>
                <w:color w:val="000000"/>
                <w:kern w:val="0"/>
                <w:szCs w:val="21"/>
              </w:rPr>
              <w:lastRenderedPageBreak/>
              <w:t>识别</w:t>
            </w:r>
          </w:p>
        </w:tc>
        <w:tc>
          <w:tcPr>
            <w:tcW w:w="4142" w:type="pct"/>
            <w:tcBorders>
              <w:top w:val="nil"/>
              <w:left w:val="nil"/>
              <w:bottom w:val="single" w:sz="4" w:space="0" w:color="auto"/>
              <w:right w:val="single" w:sz="8" w:space="0" w:color="000000"/>
            </w:tcBorders>
            <w:shd w:val="clear" w:color="auto" w:fill="auto"/>
            <w:vAlign w:val="center"/>
            <w:hideMark/>
          </w:tcPr>
          <w:p w14:paraId="4E8EA353" w14:textId="77777777" w:rsidR="00BC76B4" w:rsidRDefault="00BC76B4" w:rsidP="00BC76B4">
            <w:r>
              <w:rPr>
                <w:rFonts w:hint="eastAsia"/>
              </w:rPr>
              <w:lastRenderedPageBreak/>
              <w:t>内置针对符合特征的敏感数据发现规则，规则包括：身份证、通用证件号、银行卡号、电话号码（手机、座机）、中文姓名、中文地址、企业名称、日期、税号、</w:t>
            </w:r>
            <w:r>
              <w:rPr>
                <w:rFonts w:hint="eastAsia"/>
              </w:rPr>
              <w:t>Email</w:t>
            </w:r>
            <w:r>
              <w:rPr>
                <w:rFonts w:hint="eastAsia"/>
              </w:rPr>
              <w:t>地址、统一社会信用代码、证券号、海关编号等。</w:t>
            </w:r>
          </w:p>
          <w:p w14:paraId="511C95F8" w14:textId="77777777" w:rsidR="00BC76B4" w:rsidRDefault="00BC76B4" w:rsidP="00BC76B4">
            <w:r>
              <w:rPr>
                <w:rFonts w:hint="eastAsia"/>
              </w:rPr>
              <w:t>支持发现任务的创建，针对指定的数据库进行敏感数据的自动发现，并对任务进行管理。</w:t>
            </w:r>
          </w:p>
          <w:p w14:paraId="50B23DBC" w14:textId="77777777" w:rsidR="00BC76B4" w:rsidRDefault="00BC76B4" w:rsidP="00BC76B4">
            <w:r>
              <w:rPr>
                <w:rFonts w:hint="eastAsia"/>
              </w:rPr>
              <w:lastRenderedPageBreak/>
              <w:t>支持对发现敏感数据的匹配率调整，在满足一定比例条件下即可识别为敏感数据。</w:t>
            </w:r>
          </w:p>
          <w:p w14:paraId="60F72BB0" w14:textId="77777777" w:rsidR="00BC76B4" w:rsidRDefault="00BC76B4" w:rsidP="00BC76B4">
            <w:r>
              <w:rPr>
                <w:rFonts w:hint="eastAsia"/>
              </w:rPr>
              <w:t>支持将资产梳理结果导入到敏感字段梳理中，实现敏感数据联动发现；</w:t>
            </w:r>
          </w:p>
          <w:p w14:paraId="0553E957" w14:textId="77777777" w:rsidR="00BC76B4" w:rsidRDefault="00BC76B4" w:rsidP="00BC76B4">
            <w:r>
              <w:rPr>
                <w:rFonts w:hint="eastAsia"/>
              </w:rPr>
              <w:t>支持自定义发现敏感数据规则，包括正则、数据字典、复合匹配等方式。</w:t>
            </w:r>
          </w:p>
          <w:p w14:paraId="7F2B5F61" w14:textId="77777777" w:rsidR="00BC76B4" w:rsidRDefault="00BC76B4" w:rsidP="00BC76B4">
            <w:r>
              <w:rPr>
                <w:rFonts w:hint="eastAsia"/>
              </w:rPr>
              <w:t>对核实完成的敏感数据类型，可一键新建敏感规则或加入到原有敏感数据脱敏，并根据敏感数据类型自动匹配最优的脱敏算法。</w:t>
            </w:r>
          </w:p>
          <w:p w14:paraId="3C32981F" w14:textId="4B122C73" w:rsidR="00BC16B7" w:rsidRPr="00BC76B4" w:rsidRDefault="00BC76B4" w:rsidP="00BC76B4">
            <w:r>
              <w:rPr>
                <w:rFonts w:hint="eastAsia"/>
              </w:rPr>
              <w:t>支持对数据库驱动进行管理，在敏感发现任务中使用自定义的驱动进行连接并执行发现任务。</w:t>
            </w:r>
          </w:p>
        </w:tc>
      </w:tr>
      <w:tr w:rsidR="00203C9B" w:rsidRPr="00BC16B7" w14:paraId="3CEA2A4B" w14:textId="77777777" w:rsidTr="009657EB">
        <w:trPr>
          <w:trHeight w:val="2244"/>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EFBD" w14:textId="77777777" w:rsidR="00003441" w:rsidRPr="00BC16B7" w:rsidRDefault="00003441" w:rsidP="000427D3">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lastRenderedPageBreak/>
              <w:t>8</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F708" w14:textId="77777777" w:rsidR="00003441" w:rsidRPr="00BC16B7" w:rsidRDefault="00003441" w:rsidP="000427D3">
            <w:pPr>
              <w:widowControl/>
              <w:jc w:val="center"/>
              <w:rPr>
                <w:rFonts w:ascii="宋体" w:eastAsia="宋体" w:hAnsi="宋体" w:cs="宋体"/>
                <w:color w:val="000000"/>
                <w:kern w:val="0"/>
                <w:szCs w:val="21"/>
              </w:rPr>
            </w:pPr>
            <w:r w:rsidRPr="00BC16B7">
              <w:rPr>
                <w:rFonts w:ascii="宋体" w:eastAsia="宋体" w:hAnsi="宋体" w:cs="宋体" w:hint="eastAsia"/>
                <w:color w:val="000000"/>
                <w:kern w:val="0"/>
                <w:szCs w:val="21"/>
              </w:rPr>
              <w:t>数据脱敏功能</w:t>
            </w:r>
          </w:p>
        </w:tc>
        <w:tc>
          <w:tcPr>
            <w:tcW w:w="4142" w:type="pct"/>
            <w:tcBorders>
              <w:top w:val="single" w:sz="4" w:space="0" w:color="auto"/>
              <w:left w:val="single" w:sz="4" w:space="0" w:color="auto"/>
              <w:bottom w:val="single" w:sz="4" w:space="0" w:color="auto"/>
              <w:right w:val="single" w:sz="4" w:space="0" w:color="auto"/>
            </w:tcBorders>
            <w:shd w:val="clear" w:color="auto" w:fill="auto"/>
            <w:hideMark/>
          </w:tcPr>
          <w:p w14:paraId="057CD1CA" w14:textId="77777777" w:rsidR="00003441" w:rsidRPr="00BC16B7" w:rsidRDefault="00003441" w:rsidP="000427D3">
            <w:pPr>
              <w:widowControl/>
              <w:jc w:val="left"/>
              <w:rPr>
                <w:rFonts w:ascii="宋体" w:eastAsia="宋体" w:hAnsi="宋体" w:cs="宋体"/>
                <w:color w:val="000000"/>
                <w:kern w:val="0"/>
                <w:szCs w:val="21"/>
              </w:rPr>
            </w:pPr>
            <w:r w:rsidRPr="004C2EBF">
              <w:rPr>
                <w:rFonts w:hint="eastAsia"/>
              </w:rPr>
              <w:t>支持</w:t>
            </w:r>
            <w:r w:rsidRPr="004C2EBF">
              <w:rPr>
                <w:rFonts w:hint="eastAsia"/>
              </w:rPr>
              <w:t>SQL</w:t>
            </w:r>
            <w:r w:rsidRPr="004C2EBF">
              <w:rPr>
                <w:rFonts w:hint="eastAsia"/>
              </w:rPr>
              <w:t>改写和结果集脱敏两种方式进行动态脱敏</w:t>
            </w:r>
          </w:p>
          <w:p w14:paraId="2088EABB" w14:textId="77777777" w:rsidR="00003441" w:rsidRPr="00BC16B7" w:rsidRDefault="00003441" w:rsidP="000427D3">
            <w:pPr>
              <w:widowControl/>
              <w:jc w:val="left"/>
              <w:rPr>
                <w:rFonts w:ascii="宋体" w:eastAsia="宋体" w:hAnsi="宋体" w:cs="宋体"/>
                <w:color w:val="000000"/>
                <w:kern w:val="0"/>
                <w:szCs w:val="21"/>
              </w:rPr>
            </w:pPr>
            <w:r w:rsidRPr="004C2EBF">
              <w:rPr>
                <w:rFonts w:hint="eastAsia"/>
              </w:rPr>
              <w:t>包括：</w:t>
            </w:r>
          </w:p>
          <w:p w14:paraId="3FA1D230" w14:textId="77777777" w:rsidR="00003441" w:rsidRPr="00BC16B7" w:rsidRDefault="00003441" w:rsidP="000427D3">
            <w:pPr>
              <w:widowControl/>
              <w:jc w:val="left"/>
              <w:rPr>
                <w:rFonts w:ascii="宋体" w:eastAsia="宋体" w:hAnsi="宋体" w:cs="宋体"/>
                <w:color w:val="000000"/>
                <w:kern w:val="0"/>
                <w:szCs w:val="21"/>
              </w:rPr>
            </w:pPr>
            <w:r w:rsidRPr="004C2EBF">
              <w:rPr>
                <w:rFonts w:hint="eastAsia"/>
              </w:rPr>
              <w:t>随机替换：使用随机产生的相同含义的数据替换原有的敏感数据；</w:t>
            </w:r>
          </w:p>
          <w:p w14:paraId="3E095580" w14:textId="77777777" w:rsidR="00003441" w:rsidRPr="00BC16B7" w:rsidRDefault="00003441" w:rsidP="000427D3">
            <w:pPr>
              <w:widowControl/>
              <w:jc w:val="left"/>
              <w:rPr>
                <w:rFonts w:ascii="宋体" w:eastAsia="宋体" w:hAnsi="宋体" w:cs="宋体"/>
                <w:color w:val="000000"/>
                <w:kern w:val="0"/>
                <w:szCs w:val="21"/>
              </w:rPr>
            </w:pPr>
            <w:r w:rsidRPr="004C2EBF">
              <w:rPr>
                <w:rFonts w:hint="eastAsia"/>
              </w:rPr>
              <w:t>数据遮蔽：将原数据中部分或全部内容，用“</w:t>
            </w:r>
            <w:r w:rsidRPr="004C2EBF">
              <w:rPr>
                <w:rFonts w:hint="eastAsia"/>
              </w:rPr>
              <w:t>*</w:t>
            </w:r>
            <w:r w:rsidRPr="004C2EBF">
              <w:rPr>
                <w:rFonts w:hint="eastAsia"/>
              </w:rPr>
              <w:t>”或“</w:t>
            </w:r>
            <w:r w:rsidRPr="004C2EBF">
              <w:rPr>
                <w:rFonts w:hint="eastAsia"/>
              </w:rPr>
              <w:t>#</w:t>
            </w:r>
            <w:r w:rsidRPr="004C2EBF">
              <w:rPr>
                <w:rFonts w:hint="eastAsia"/>
              </w:rPr>
              <w:t>”等字符进行替换，遮盖部分或全部原文。</w:t>
            </w:r>
            <w:r w:rsidRPr="004C2EBF">
              <w:rPr>
                <w:rFonts w:hint="eastAsia"/>
              </w:rPr>
              <w:t>"</w:t>
            </w:r>
          </w:p>
          <w:p w14:paraId="0721F615" w14:textId="77777777" w:rsidR="00003441" w:rsidRPr="00BC16B7" w:rsidRDefault="00003441" w:rsidP="000427D3">
            <w:pPr>
              <w:jc w:val="left"/>
              <w:rPr>
                <w:rFonts w:ascii="宋体" w:eastAsia="宋体" w:hAnsi="宋体" w:cs="宋体"/>
                <w:color w:val="000000"/>
                <w:kern w:val="0"/>
                <w:szCs w:val="21"/>
              </w:rPr>
            </w:pPr>
            <w:r w:rsidRPr="004C2EBF">
              <w:rPr>
                <w:rFonts w:hint="eastAsia"/>
              </w:rPr>
              <w:t>支持遮蔽算法自定义，包括遮蔽起始位置、遮蔽长度、替换字符可自定义；</w:t>
            </w:r>
          </w:p>
        </w:tc>
      </w:tr>
      <w:tr w:rsidR="00203C9B" w:rsidRPr="00BC16B7" w14:paraId="46F367E7" w14:textId="77777777" w:rsidTr="009657EB">
        <w:trPr>
          <w:trHeight w:val="2244"/>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CE4E" w14:textId="77777777" w:rsidR="00203C9B" w:rsidRPr="00BC16B7" w:rsidRDefault="00203C9B" w:rsidP="000427D3">
            <w:pPr>
              <w:widowControl/>
              <w:jc w:val="center"/>
              <w:rPr>
                <w:rFonts w:ascii="宋体" w:eastAsia="宋体" w:hAnsi="宋体" w:cs="宋体"/>
                <w:color w:val="000000"/>
                <w:kern w:val="0"/>
                <w:szCs w:val="21"/>
              </w:rPr>
            </w:pPr>
            <w:r>
              <w:rPr>
                <w:rFonts w:ascii="宋体" w:eastAsia="宋体" w:hAnsi="宋体" w:cs="宋体"/>
                <w:color w:val="000000"/>
                <w:kern w:val="0"/>
                <w:szCs w:val="21"/>
              </w:rPr>
              <w:t>9</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E5BFB" w14:textId="77777777" w:rsidR="00203C9B" w:rsidRPr="00BC16B7" w:rsidRDefault="00203C9B" w:rsidP="000427D3">
            <w:pPr>
              <w:widowControl/>
              <w:jc w:val="center"/>
              <w:rPr>
                <w:rFonts w:ascii="宋体" w:eastAsia="宋体" w:hAnsi="宋体" w:cs="宋体"/>
                <w:color w:val="000000"/>
                <w:kern w:val="0"/>
                <w:szCs w:val="21"/>
              </w:rPr>
            </w:pPr>
            <w:r>
              <w:rPr>
                <w:rFonts w:ascii="宋体" w:eastAsia="宋体" w:hAnsi="宋体" w:cs="宋体"/>
                <w:color w:val="000000"/>
                <w:kern w:val="0"/>
                <w:szCs w:val="21"/>
              </w:rPr>
              <w:t>风险分析</w:t>
            </w:r>
          </w:p>
        </w:tc>
        <w:tc>
          <w:tcPr>
            <w:tcW w:w="4142" w:type="pct"/>
            <w:tcBorders>
              <w:top w:val="single" w:sz="4" w:space="0" w:color="auto"/>
              <w:left w:val="single" w:sz="4" w:space="0" w:color="auto"/>
              <w:bottom w:val="single" w:sz="4" w:space="0" w:color="auto"/>
              <w:right w:val="single" w:sz="4" w:space="0" w:color="auto"/>
            </w:tcBorders>
            <w:shd w:val="clear" w:color="auto" w:fill="auto"/>
            <w:hideMark/>
          </w:tcPr>
          <w:p w14:paraId="1F5B7744" w14:textId="77777777" w:rsidR="00203C9B" w:rsidRDefault="00203C9B" w:rsidP="000427D3">
            <w:r>
              <w:t>系统具有语句模板抽象能力，能够将语句结构相同但参数不同的语句，抽象为语句模板，并能够根据语句模板配置语句的黑白名单规则，进行拦截和阻断。</w:t>
            </w:r>
          </w:p>
          <w:p w14:paraId="12FB1F55" w14:textId="77777777" w:rsidR="00203C9B" w:rsidRDefault="00203C9B" w:rsidP="000427D3">
            <w:r>
              <w:t>支持按风险语句模板统计具体某一种风险模板语句产生次数、最后执行时间、以及所命中规则。</w:t>
            </w:r>
          </w:p>
          <w:p w14:paraId="46EDB920" w14:textId="77777777" w:rsidR="00203C9B" w:rsidRDefault="00203C9B" w:rsidP="000427D3">
            <w:r>
              <w:t>支持风险统计：统计全局和单库的风险命中情况；</w:t>
            </w:r>
          </w:p>
          <w:p w14:paraId="28E3D1C6" w14:textId="77777777" w:rsidR="00203C9B" w:rsidRPr="00885460" w:rsidRDefault="00203C9B" w:rsidP="000427D3">
            <w:r>
              <w:t>支持风险源分析：基于客户端</w:t>
            </w:r>
            <w:r>
              <w:t>IP</w:t>
            </w:r>
            <w:r>
              <w:t>、数据库用户、工具分析风险来源。</w:t>
            </w:r>
          </w:p>
        </w:tc>
      </w:tr>
      <w:tr w:rsidR="009657EB" w:rsidRPr="00BC16B7" w14:paraId="792B19A9" w14:textId="77777777" w:rsidTr="009657EB">
        <w:trPr>
          <w:trHeight w:val="2244"/>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65CB7" w14:textId="77777777" w:rsidR="009657EB" w:rsidRPr="00BC16B7" w:rsidRDefault="009657EB" w:rsidP="000427D3">
            <w:pPr>
              <w:widowControl/>
              <w:jc w:val="center"/>
              <w:rPr>
                <w:rFonts w:ascii="宋体" w:eastAsia="宋体" w:hAnsi="宋体" w:cs="宋体"/>
                <w:color w:val="000000"/>
                <w:kern w:val="0"/>
                <w:szCs w:val="21"/>
              </w:rPr>
            </w:pPr>
            <w:r>
              <w:rPr>
                <w:rFonts w:ascii="宋体" w:eastAsia="宋体" w:hAnsi="宋体" w:cs="宋体"/>
                <w:color w:val="000000"/>
                <w:kern w:val="0"/>
                <w:szCs w:val="21"/>
              </w:rPr>
              <w:t>10</w:t>
            </w:r>
            <w:r w:rsidRPr="00BC16B7">
              <w:rPr>
                <w:rFonts w:ascii="Times New Roman" w:eastAsia="宋体" w:hAnsi="Times New Roman" w:cs="Times New Roman"/>
                <w:color w:val="000000"/>
                <w:kern w:val="0"/>
                <w:szCs w:val="21"/>
              </w:rPr>
              <w:t xml:space="preserve">   </w:t>
            </w:r>
            <w:r w:rsidRPr="00BC16B7">
              <w:rPr>
                <w:rFonts w:ascii="宋体" w:eastAsia="宋体" w:hAnsi="宋体" w:cs="宋体" w:hint="eastAsia"/>
                <w:color w:val="000000"/>
                <w:kern w:val="0"/>
                <w:szCs w:val="21"/>
              </w:rPr>
              <w:t> </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FA13D" w14:textId="77777777" w:rsidR="009657EB" w:rsidRPr="00BC16B7" w:rsidRDefault="009657EB" w:rsidP="000427D3">
            <w:pPr>
              <w:widowControl/>
              <w:jc w:val="center"/>
              <w:rPr>
                <w:rFonts w:ascii="宋体" w:eastAsia="宋体" w:hAnsi="宋体" w:cs="宋体"/>
                <w:color w:val="000000"/>
                <w:kern w:val="0"/>
                <w:szCs w:val="21"/>
              </w:rPr>
            </w:pPr>
            <w:r>
              <w:rPr>
                <w:rFonts w:ascii="宋体" w:eastAsia="宋体" w:hAnsi="宋体" w:cs="宋体"/>
                <w:color w:val="000000"/>
                <w:kern w:val="0"/>
                <w:szCs w:val="21"/>
              </w:rPr>
              <w:t>告警与外送</w:t>
            </w:r>
          </w:p>
        </w:tc>
        <w:tc>
          <w:tcPr>
            <w:tcW w:w="4142" w:type="pct"/>
            <w:tcBorders>
              <w:top w:val="single" w:sz="4" w:space="0" w:color="auto"/>
              <w:left w:val="single" w:sz="4" w:space="0" w:color="auto"/>
              <w:bottom w:val="single" w:sz="4" w:space="0" w:color="auto"/>
              <w:right w:val="single" w:sz="4" w:space="0" w:color="auto"/>
            </w:tcBorders>
            <w:shd w:val="clear" w:color="auto" w:fill="auto"/>
            <w:hideMark/>
          </w:tcPr>
          <w:p w14:paraId="0A8962F3" w14:textId="77777777" w:rsidR="009657EB" w:rsidRDefault="009657EB" w:rsidP="000427D3">
            <w:r>
              <w:t>支持规则命中后的风险告警；</w:t>
            </w:r>
          </w:p>
          <w:p w14:paraId="53A5CA2F" w14:textId="77777777" w:rsidR="009657EB" w:rsidRDefault="009657EB" w:rsidP="000427D3">
            <w:r>
              <w:t>风险告警内容支持触发规则风险内容，并支持根据风险等级进行告警通知。</w:t>
            </w:r>
          </w:p>
          <w:p w14:paraId="1A4A58F9" w14:textId="77777777" w:rsidR="009657EB" w:rsidRDefault="009657EB" w:rsidP="000427D3">
            <w:r>
              <w:t>支持告警与规则和数据库关联，实现不同规则、数据库的告警发送给不同收件人，方便进行风险的排查。</w:t>
            </w:r>
          </w:p>
          <w:p w14:paraId="31441183" w14:textId="77777777" w:rsidR="009657EB" w:rsidRDefault="009657EB" w:rsidP="000427D3">
            <w:r>
              <w:t>告警方式包括：邮件、短信平台、</w:t>
            </w:r>
            <w:r>
              <w:t>SYSLOG</w:t>
            </w:r>
            <w:r>
              <w:t>、</w:t>
            </w:r>
            <w:r>
              <w:t>SNMP</w:t>
            </w:r>
            <w:r>
              <w:t>、企业微信、钉钉群助手、防护系统前台界面；</w:t>
            </w:r>
          </w:p>
          <w:p w14:paraId="1B60AC41" w14:textId="77777777" w:rsidR="009657EB" w:rsidRDefault="009657EB" w:rsidP="000427D3">
            <w:r>
              <w:t>支持</w:t>
            </w:r>
            <w:r>
              <w:t>SYSLOG</w:t>
            </w:r>
            <w:r>
              <w:t>方式进行数据外送，可外送审计数据、会话信息、新型语句模板、系统审计日志；</w:t>
            </w:r>
          </w:p>
          <w:p w14:paraId="66BCEF09" w14:textId="77777777" w:rsidR="009657EB" w:rsidRPr="00885460" w:rsidRDefault="009657EB" w:rsidP="000427D3">
            <w:r>
              <w:t>支持自定义编辑外送模板。</w:t>
            </w:r>
          </w:p>
        </w:tc>
      </w:tr>
      <w:tr w:rsidR="00EB32C6" w:rsidRPr="00BC16B7" w14:paraId="5FE38B24" w14:textId="77777777" w:rsidTr="009657EB">
        <w:trPr>
          <w:trHeight w:val="2244"/>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1F15E" w14:textId="7E7CE517" w:rsidR="00EB32C6" w:rsidRDefault="00EB32C6" w:rsidP="000427D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AD57B31" w14:textId="25471049" w:rsidR="00EB32C6" w:rsidRDefault="00EB32C6" w:rsidP="000427D3">
            <w:pPr>
              <w:widowControl/>
              <w:jc w:val="center"/>
              <w:rPr>
                <w:rFonts w:ascii="宋体" w:eastAsia="宋体" w:hAnsi="宋体" w:cs="宋体"/>
                <w:color w:val="000000"/>
                <w:kern w:val="0"/>
                <w:szCs w:val="21"/>
              </w:rPr>
            </w:pPr>
            <w:r>
              <w:rPr>
                <w:rFonts w:ascii="宋体" w:eastAsia="宋体" w:hAnsi="宋体" w:cs="宋体"/>
                <w:color w:val="000000"/>
                <w:kern w:val="0"/>
                <w:szCs w:val="21"/>
              </w:rPr>
              <w:t>报表</w:t>
            </w:r>
          </w:p>
        </w:tc>
        <w:tc>
          <w:tcPr>
            <w:tcW w:w="4142" w:type="pct"/>
            <w:tcBorders>
              <w:top w:val="single" w:sz="4" w:space="0" w:color="auto"/>
              <w:left w:val="single" w:sz="4" w:space="0" w:color="auto"/>
              <w:bottom w:val="single" w:sz="4" w:space="0" w:color="auto"/>
              <w:right w:val="single" w:sz="4" w:space="0" w:color="auto"/>
            </w:tcBorders>
            <w:shd w:val="clear" w:color="auto" w:fill="auto"/>
          </w:tcPr>
          <w:p w14:paraId="5F4CED59" w14:textId="77777777" w:rsidR="00527EE0" w:rsidRDefault="00527EE0" w:rsidP="00527EE0">
            <w:r>
              <w:t>支持图表结合展现，支持柱形图、饼状图、条形图，双轴折线图等多种统计图展现形式。</w:t>
            </w:r>
          </w:p>
          <w:p w14:paraId="253A663F" w14:textId="77777777" w:rsidR="00527EE0" w:rsidRDefault="00527EE0" w:rsidP="00527EE0">
            <w:r>
              <w:t>支持各类报表展现，针对风险、性能、访问源、账户等信息做专项报表展现。</w:t>
            </w:r>
          </w:p>
          <w:p w14:paraId="4C713C7A" w14:textId="77777777" w:rsidR="00527EE0" w:rsidRDefault="00527EE0" w:rsidP="00527EE0">
            <w:r>
              <w:t>支持按日、周、月等时间周期生成综合报表；</w:t>
            </w:r>
          </w:p>
          <w:p w14:paraId="2F29FA00" w14:textId="77777777" w:rsidR="00527EE0" w:rsidRDefault="00527EE0" w:rsidP="00527EE0">
            <w:r>
              <w:t>支持将报表按指定的时间推送至指定管理员的邮箱。</w:t>
            </w:r>
          </w:p>
          <w:p w14:paraId="0AE3CAB0" w14:textId="11447EEC" w:rsidR="00EB32C6" w:rsidRDefault="00527EE0" w:rsidP="000427D3">
            <w:r>
              <w:t>报表支持以</w:t>
            </w:r>
            <w:r>
              <w:t>Word</w:t>
            </w:r>
            <w:r>
              <w:t>、</w:t>
            </w:r>
            <w:r>
              <w:t>PDF</w:t>
            </w:r>
            <w:r>
              <w:t>、</w:t>
            </w:r>
            <w:r>
              <w:t>HTML</w:t>
            </w:r>
            <w:r>
              <w:t>、</w:t>
            </w:r>
            <w:r>
              <w:t>CSV</w:t>
            </w:r>
            <w:r w:rsidR="003D41F9">
              <w:t>等格式</w:t>
            </w:r>
            <w:r>
              <w:t>保存到本地。</w:t>
            </w:r>
          </w:p>
        </w:tc>
      </w:tr>
      <w:tr w:rsidR="00BC76B4" w:rsidRPr="00BC16B7" w14:paraId="6652AB0F" w14:textId="77777777" w:rsidTr="009657EB">
        <w:trPr>
          <w:trHeight w:val="2244"/>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49F9" w14:textId="79820AE0" w:rsidR="00BC76B4" w:rsidRPr="00BC16B7" w:rsidRDefault="00EB32C6" w:rsidP="00BC76B4">
            <w:pPr>
              <w:widowControl/>
              <w:jc w:val="center"/>
              <w:rPr>
                <w:rFonts w:ascii="宋体" w:eastAsia="宋体" w:hAnsi="宋体" w:cs="宋体"/>
                <w:color w:val="000000"/>
                <w:kern w:val="0"/>
                <w:szCs w:val="21"/>
              </w:rPr>
            </w:pPr>
            <w:r>
              <w:rPr>
                <w:rFonts w:ascii="宋体" w:eastAsia="宋体" w:hAnsi="宋体" w:cs="宋体"/>
                <w:color w:val="000000"/>
                <w:kern w:val="0"/>
                <w:szCs w:val="21"/>
              </w:rPr>
              <w:lastRenderedPageBreak/>
              <w:t>12</w:t>
            </w:r>
            <w:r w:rsidR="00BC76B4" w:rsidRPr="00BC16B7">
              <w:rPr>
                <w:rFonts w:ascii="Times New Roman" w:eastAsia="宋体" w:hAnsi="Times New Roman" w:cs="Times New Roman"/>
                <w:color w:val="000000"/>
                <w:kern w:val="0"/>
                <w:szCs w:val="21"/>
              </w:rPr>
              <w:t xml:space="preserve">  </w:t>
            </w:r>
            <w:r w:rsidR="00BC76B4" w:rsidRPr="00BC16B7">
              <w:rPr>
                <w:rFonts w:ascii="宋体" w:eastAsia="宋体" w:hAnsi="宋体" w:cs="宋体" w:hint="eastAsia"/>
                <w:color w:val="000000"/>
                <w:kern w:val="0"/>
                <w:szCs w:val="21"/>
              </w:rPr>
              <w:t> </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E9179" w14:textId="631A21A9" w:rsidR="00BC76B4" w:rsidRPr="00BC16B7" w:rsidRDefault="009657EB" w:rsidP="00BC76B4">
            <w:pPr>
              <w:widowControl/>
              <w:jc w:val="center"/>
              <w:rPr>
                <w:rFonts w:ascii="宋体" w:eastAsia="宋体" w:hAnsi="宋体" w:cs="宋体"/>
                <w:color w:val="000000"/>
                <w:kern w:val="0"/>
                <w:szCs w:val="21"/>
              </w:rPr>
            </w:pPr>
            <w:r>
              <w:rPr>
                <w:rFonts w:ascii="宋体" w:eastAsia="宋体" w:hAnsi="宋体" w:cs="宋体"/>
                <w:color w:val="000000"/>
                <w:kern w:val="0"/>
                <w:szCs w:val="21"/>
              </w:rPr>
              <w:t>产品资质</w:t>
            </w:r>
          </w:p>
        </w:tc>
        <w:tc>
          <w:tcPr>
            <w:tcW w:w="4142" w:type="pct"/>
            <w:tcBorders>
              <w:top w:val="single" w:sz="4" w:space="0" w:color="auto"/>
              <w:left w:val="single" w:sz="4" w:space="0" w:color="auto"/>
              <w:bottom w:val="single" w:sz="4" w:space="0" w:color="auto"/>
              <w:right w:val="single" w:sz="4" w:space="0" w:color="auto"/>
            </w:tcBorders>
            <w:shd w:val="clear" w:color="auto" w:fill="auto"/>
            <w:hideMark/>
          </w:tcPr>
          <w:p w14:paraId="5E52A66F" w14:textId="5D920A84" w:rsidR="005129FB" w:rsidRDefault="005129FB" w:rsidP="005129FB">
            <w:r>
              <w:t>主流国产数据库的官方兼容性证明，如</w:t>
            </w:r>
            <w:r>
              <w:t>Kingbase</w:t>
            </w:r>
            <w:r>
              <w:t>、达梦、</w:t>
            </w:r>
            <w:r>
              <w:t>OceanBase</w:t>
            </w:r>
            <w:r>
              <w:t>、南大通用等；</w:t>
            </w:r>
            <w:r>
              <w:t xml:space="preserve"> </w:t>
            </w:r>
          </w:p>
          <w:p w14:paraId="3D194CA2" w14:textId="0094AB00" w:rsidR="005129FB" w:rsidRDefault="005129FB" w:rsidP="005129FB">
            <w:r>
              <w:t>国产操作系统官方兼容性证明。</w:t>
            </w:r>
          </w:p>
          <w:p w14:paraId="537FBBC1" w14:textId="0270DFF4" w:rsidR="00BC76B4" w:rsidRPr="005129FB" w:rsidRDefault="00BC76B4" w:rsidP="00885460"/>
        </w:tc>
      </w:tr>
    </w:tbl>
    <w:p w14:paraId="0210416B" w14:textId="77777777" w:rsidR="00910ED9" w:rsidRPr="00BC16B7" w:rsidRDefault="00910ED9" w:rsidP="00910ED9"/>
    <w:p w14:paraId="404F7D8C" w14:textId="46765196" w:rsidR="00910ED9" w:rsidRDefault="00CB73A6" w:rsidP="00CB73A6">
      <w:pPr>
        <w:pStyle w:val="2"/>
      </w:pPr>
      <w:r>
        <w:rPr>
          <w:rFonts w:hint="eastAsia"/>
        </w:rPr>
        <w:t>3</w:t>
      </w:r>
      <w:r>
        <w:t>.</w:t>
      </w:r>
      <w:r w:rsidR="00910ED9">
        <w:t>服务要求</w:t>
      </w:r>
    </w:p>
    <w:p w14:paraId="75B53F9A" w14:textId="14D5BAB8" w:rsidR="00910ED9" w:rsidRPr="002D1B57" w:rsidRDefault="00B0462E" w:rsidP="005011D9">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软硬件</w:t>
      </w:r>
      <w:r w:rsidR="000B2849">
        <w:rPr>
          <w:rFonts w:ascii="宋体" w:eastAsia="宋体" w:hAnsi="宋体" w:cs="宋体" w:hint="eastAsia"/>
          <w:color w:val="000000"/>
          <w:kern w:val="0"/>
          <w:sz w:val="28"/>
          <w:szCs w:val="28"/>
        </w:rPr>
        <w:t>三年</w:t>
      </w:r>
      <w:r w:rsidR="00A30779">
        <w:rPr>
          <w:rFonts w:ascii="宋体" w:eastAsia="宋体" w:hAnsi="宋体" w:cs="宋体" w:hint="eastAsia"/>
          <w:color w:val="000000"/>
          <w:kern w:val="0"/>
          <w:sz w:val="28"/>
          <w:szCs w:val="28"/>
        </w:rPr>
        <w:t>维保服务；</w:t>
      </w:r>
      <w:r w:rsidR="0096373D" w:rsidRPr="002D1B57">
        <w:rPr>
          <w:rFonts w:ascii="宋体" w:eastAsia="宋体" w:hAnsi="宋体" w:cs="宋体"/>
          <w:color w:val="000000"/>
          <w:kern w:val="0"/>
          <w:sz w:val="28"/>
          <w:szCs w:val="28"/>
        </w:rPr>
        <w:t>三年</w:t>
      </w:r>
      <w:r w:rsidR="00AA4B3C" w:rsidRPr="002D1B57">
        <w:rPr>
          <w:rFonts w:ascii="宋体" w:eastAsia="宋体" w:hAnsi="宋体" w:cs="宋体"/>
          <w:color w:val="000000"/>
          <w:kern w:val="0"/>
          <w:sz w:val="28"/>
          <w:szCs w:val="28"/>
        </w:rPr>
        <w:t>5</w:t>
      </w:r>
      <w:r w:rsidR="0096373D" w:rsidRPr="002D1B57">
        <w:rPr>
          <w:rFonts w:ascii="宋体" w:eastAsia="宋体" w:hAnsi="宋体" w:cs="宋体" w:hint="eastAsia"/>
          <w:color w:val="000000"/>
          <w:kern w:val="0"/>
          <w:sz w:val="28"/>
          <w:szCs w:val="28"/>
        </w:rPr>
        <w:t>*</w:t>
      </w:r>
      <w:r w:rsidR="001F0695">
        <w:rPr>
          <w:rFonts w:ascii="宋体" w:eastAsia="宋体" w:hAnsi="宋体" w:cs="宋体"/>
          <w:color w:val="000000"/>
          <w:kern w:val="0"/>
          <w:sz w:val="28"/>
          <w:szCs w:val="28"/>
        </w:rPr>
        <w:t>8</w:t>
      </w:r>
      <w:r w:rsidR="00AA48B9" w:rsidRPr="002D1B57">
        <w:rPr>
          <w:rFonts w:ascii="宋体" w:eastAsia="宋体" w:hAnsi="宋体" w:cs="宋体"/>
          <w:color w:val="000000"/>
          <w:kern w:val="0"/>
          <w:sz w:val="28"/>
          <w:szCs w:val="28"/>
        </w:rPr>
        <w:t>小时</w:t>
      </w:r>
      <w:r w:rsidR="001A7A67">
        <w:rPr>
          <w:rFonts w:ascii="宋体" w:eastAsia="宋体" w:hAnsi="宋体" w:cs="宋体"/>
          <w:color w:val="000000"/>
          <w:kern w:val="0"/>
          <w:sz w:val="28"/>
          <w:szCs w:val="28"/>
        </w:rPr>
        <w:t>线上</w:t>
      </w:r>
      <w:r w:rsidR="00A84C44" w:rsidRPr="002D1B57">
        <w:rPr>
          <w:rFonts w:ascii="宋体" w:eastAsia="宋体" w:hAnsi="宋体" w:cs="宋体"/>
          <w:color w:val="000000"/>
          <w:kern w:val="0"/>
          <w:sz w:val="28"/>
          <w:szCs w:val="28"/>
        </w:rPr>
        <w:t>技术</w:t>
      </w:r>
      <w:r w:rsidR="001A6DE2" w:rsidRPr="002D1B57">
        <w:rPr>
          <w:rFonts w:ascii="宋体" w:eastAsia="宋体" w:hAnsi="宋体" w:cs="宋体"/>
          <w:color w:val="000000"/>
          <w:kern w:val="0"/>
          <w:sz w:val="28"/>
          <w:szCs w:val="28"/>
        </w:rPr>
        <w:t>支持</w:t>
      </w:r>
      <w:r w:rsidR="00A30779">
        <w:rPr>
          <w:rFonts w:ascii="宋体" w:eastAsia="宋体" w:hAnsi="宋体" w:cs="宋体"/>
          <w:color w:val="000000"/>
          <w:kern w:val="0"/>
          <w:sz w:val="28"/>
          <w:szCs w:val="28"/>
        </w:rPr>
        <w:t>；</w:t>
      </w:r>
      <w:r w:rsidR="004A408E">
        <w:rPr>
          <w:rFonts w:ascii="宋体" w:eastAsia="宋体" w:hAnsi="宋体" w:cs="宋体"/>
          <w:color w:val="000000"/>
          <w:kern w:val="0"/>
          <w:sz w:val="28"/>
          <w:szCs w:val="28"/>
        </w:rPr>
        <w:t>三年</w:t>
      </w:r>
      <w:r w:rsidR="0096373D" w:rsidRPr="002D1B57">
        <w:rPr>
          <w:rFonts w:ascii="宋体" w:eastAsia="宋体" w:hAnsi="宋体" w:cs="宋体"/>
          <w:color w:val="000000"/>
          <w:kern w:val="0"/>
          <w:sz w:val="28"/>
          <w:szCs w:val="28"/>
        </w:rPr>
        <w:t>不定期</w:t>
      </w:r>
      <w:r w:rsidR="001A7A67">
        <w:rPr>
          <w:rFonts w:ascii="宋体" w:eastAsia="宋体" w:hAnsi="宋体" w:cs="宋体"/>
          <w:color w:val="000000"/>
          <w:kern w:val="0"/>
          <w:sz w:val="28"/>
          <w:szCs w:val="28"/>
        </w:rPr>
        <w:t>线下</w:t>
      </w:r>
      <w:r w:rsidR="00A84C44" w:rsidRPr="002D1B57">
        <w:rPr>
          <w:rFonts w:ascii="宋体" w:eastAsia="宋体" w:hAnsi="宋体" w:cs="宋体"/>
          <w:color w:val="000000"/>
          <w:kern w:val="0"/>
          <w:sz w:val="28"/>
          <w:szCs w:val="28"/>
        </w:rPr>
        <w:t>技术</w:t>
      </w:r>
      <w:r w:rsidR="001A6DE2" w:rsidRPr="002D1B57">
        <w:rPr>
          <w:rFonts w:ascii="宋体" w:eastAsia="宋体" w:hAnsi="宋体" w:cs="宋体"/>
          <w:color w:val="000000"/>
          <w:kern w:val="0"/>
          <w:sz w:val="28"/>
          <w:szCs w:val="28"/>
        </w:rPr>
        <w:t>支持</w:t>
      </w:r>
      <w:r w:rsidR="0096373D" w:rsidRPr="002D1B57">
        <w:rPr>
          <w:rFonts w:ascii="宋体" w:eastAsia="宋体" w:hAnsi="宋体" w:cs="宋体"/>
          <w:color w:val="000000"/>
          <w:kern w:val="0"/>
          <w:sz w:val="28"/>
          <w:szCs w:val="28"/>
        </w:rPr>
        <w:t>。</w:t>
      </w:r>
    </w:p>
    <w:p w14:paraId="01F52AE6" w14:textId="77777777" w:rsidR="00375EDF" w:rsidRPr="00375EDF" w:rsidRDefault="00375EDF" w:rsidP="00375EDF"/>
    <w:sectPr w:rsidR="00375EDF" w:rsidRPr="00375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57C64" w14:textId="77777777" w:rsidR="0056436F" w:rsidRDefault="0056436F" w:rsidP="008E0CBF">
      <w:r>
        <w:separator/>
      </w:r>
    </w:p>
  </w:endnote>
  <w:endnote w:type="continuationSeparator" w:id="0">
    <w:p w14:paraId="101FEF4A" w14:textId="77777777" w:rsidR="0056436F" w:rsidRDefault="0056436F" w:rsidP="008E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73C41" w14:textId="77777777" w:rsidR="0056436F" w:rsidRDefault="0056436F" w:rsidP="008E0CBF">
      <w:r>
        <w:separator/>
      </w:r>
    </w:p>
  </w:footnote>
  <w:footnote w:type="continuationSeparator" w:id="0">
    <w:p w14:paraId="0C813529" w14:textId="77777777" w:rsidR="0056436F" w:rsidRDefault="0056436F" w:rsidP="008E0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027E5"/>
    <w:multiLevelType w:val="hybridMultilevel"/>
    <w:tmpl w:val="6BECDAB4"/>
    <w:lvl w:ilvl="0" w:tplc="37180C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DE1114"/>
    <w:multiLevelType w:val="hybridMultilevel"/>
    <w:tmpl w:val="6BECDAB4"/>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59A901B1"/>
    <w:multiLevelType w:val="multilevel"/>
    <w:tmpl w:val="59A901B1"/>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YTU5ZDZlNzcyZjlmODc1MzRjY2I0ZjM1MTkzN2EifQ=="/>
  </w:docVars>
  <w:rsids>
    <w:rsidRoot w:val="3B4415E5"/>
    <w:rsid w:val="00003441"/>
    <w:rsid w:val="00003964"/>
    <w:rsid w:val="0001632C"/>
    <w:rsid w:val="0002033C"/>
    <w:rsid w:val="000312D8"/>
    <w:rsid w:val="0004236A"/>
    <w:rsid w:val="000522D9"/>
    <w:rsid w:val="000535ED"/>
    <w:rsid w:val="00054B30"/>
    <w:rsid w:val="00096C8D"/>
    <w:rsid w:val="000A0E66"/>
    <w:rsid w:val="000B2849"/>
    <w:rsid w:val="000E654F"/>
    <w:rsid w:val="000E71AB"/>
    <w:rsid w:val="00101B7E"/>
    <w:rsid w:val="00101DDF"/>
    <w:rsid w:val="00150672"/>
    <w:rsid w:val="00167A16"/>
    <w:rsid w:val="001A6DE2"/>
    <w:rsid w:val="001A7A67"/>
    <w:rsid w:val="001B1F8F"/>
    <w:rsid w:val="001C7159"/>
    <w:rsid w:val="001F0695"/>
    <w:rsid w:val="00203C9B"/>
    <w:rsid w:val="00235E58"/>
    <w:rsid w:val="00270C1C"/>
    <w:rsid w:val="0027692D"/>
    <w:rsid w:val="002B33CE"/>
    <w:rsid w:val="002D1B57"/>
    <w:rsid w:val="00375EDF"/>
    <w:rsid w:val="003B10D7"/>
    <w:rsid w:val="003D41F9"/>
    <w:rsid w:val="004009B1"/>
    <w:rsid w:val="00403E1D"/>
    <w:rsid w:val="00425A31"/>
    <w:rsid w:val="0043760F"/>
    <w:rsid w:val="0044246F"/>
    <w:rsid w:val="00480C6F"/>
    <w:rsid w:val="00485974"/>
    <w:rsid w:val="00497965"/>
    <w:rsid w:val="004A408E"/>
    <w:rsid w:val="004C6E00"/>
    <w:rsid w:val="004F5949"/>
    <w:rsid w:val="005011D9"/>
    <w:rsid w:val="0051270A"/>
    <w:rsid w:val="005129FB"/>
    <w:rsid w:val="00514366"/>
    <w:rsid w:val="00527EE0"/>
    <w:rsid w:val="0056436F"/>
    <w:rsid w:val="00585D8F"/>
    <w:rsid w:val="005A25C8"/>
    <w:rsid w:val="005C25F1"/>
    <w:rsid w:val="005C4229"/>
    <w:rsid w:val="005D0A30"/>
    <w:rsid w:val="0062697D"/>
    <w:rsid w:val="00634D85"/>
    <w:rsid w:val="00635B9F"/>
    <w:rsid w:val="00635C9A"/>
    <w:rsid w:val="00636990"/>
    <w:rsid w:val="006625E8"/>
    <w:rsid w:val="00670DF6"/>
    <w:rsid w:val="0069744D"/>
    <w:rsid w:val="006A6975"/>
    <w:rsid w:val="007011A4"/>
    <w:rsid w:val="007216C1"/>
    <w:rsid w:val="007230BD"/>
    <w:rsid w:val="007371C4"/>
    <w:rsid w:val="00744469"/>
    <w:rsid w:val="00790B62"/>
    <w:rsid w:val="007B4F11"/>
    <w:rsid w:val="007E0711"/>
    <w:rsid w:val="00800823"/>
    <w:rsid w:val="00801BA8"/>
    <w:rsid w:val="008062DC"/>
    <w:rsid w:val="00806D77"/>
    <w:rsid w:val="00811BB2"/>
    <w:rsid w:val="00854A5E"/>
    <w:rsid w:val="0087169C"/>
    <w:rsid w:val="00885460"/>
    <w:rsid w:val="00894C4C"/>
    <w:rsid w:val="008D4093"/>
    <w:rsid w:val="008E0CBF"/>
    <w:rsid w:val="009069AD"/>
    <w:rsid w:val="00910ED9"/>
    <w:rsid w:val="00917439"/>
    <w:rsid w:val="00936D56"/>
    <w:rsid w:val="00937748"/>
    <w:rsid w:val="00952811"/>
    <w:rsid w:val="00962A21"/>
    <w:rsid w:val="0096373D"/>
    <w:rsid w:val="009657EB"/>
    <w:rsid w:val="0097283B"/>
    <w:rsid w:val="00973984"/>
    <w:rsid w:val="00980FEE"/>
    <w:rsid w:val="00981668"/>
    <w:rsid w:val="00981903"/>
    <w:rsid w:val="009A64C9"/>
    <w:rsid w:val="009A6580"/>
    <w:rsid w:val="00A14B6D"/>
    <w:rsid w:val="00A15080"/>
    <w:rsid w:val="00A30779"/>
    <w:rsid w:val="00A73696"/>
    <w:rsid w:val="00A84C44"/>
    <w:rsid w:val="00A86C04"/>
    <w:rsid w:val="00A92B46"/>
    <w:rsid w:val="00AA48B9"/>
    <w:rsid w:val="00AA4B3C"/>
    <w:rsid w:val="00AC5C7B"/>
    <w:rsid w:val="00AE0D8F"/>
    <w:rsid w:val="00AE70B7"/>
    <w:rsid w:val="00AF7136"/>
    <w:rsid w:val="00B0462E"/>
    <w:rsid w:val="00B47D6F"/>
    <w:rsid w:val="00B709F0"/>
    <w:rsid w:val="00BA3B01"/>
    <w:rsid w:val="00BB2C09"/>
    <w:rsid w:val="00BB4098"/>
    <w:rsid w:val="00BB438E"/>
    <w:rsid w:val="00BB4E8E"/>
    <w:rsid w:val="00BC16B7"/>
    <w:rsid w:val="00BC3395"/>
    <w:rsid w:val="00BC76B4"/>
    <w:rsid w:val="00BE62EB"/>
    <w:rsid w:val="00C3575B"/>
    <w:rsid w:val="00C86C65"/>
    <w:rsid w:val="00C96A77"/>
    <w:rsid w:val="00CA1D8B"/>
    <w:rsid w:val="00CA67DF"/>
    <w:rsid w:val="00CB73A6"/>
    <w:rsid w:val="00D03988"/>
    <w:rsid w:val="00D30DC3"/>
    <w:rsid w:val="00D36EA3"/>
    <w:rsid w:val="00D43E16"/>
    <w:rsid w:val="00DB4811"/>
    <w:rsid w:val="00DC1C1B"/>
    <w:rsid w:val="00E065CA"/>
    <w:rsid w:val="00E110E9"/>
    <w:rsid w:val="00E1460F"/>
    <w:rsid w:val="00E45EB9"/>
    <w:rsid w:val="00E64EE8"/>
    <w:rsid w:val="00E85631"/>
    <w:rsid w:val="00EA134B"/>
    <w:rsid w:val="00EB15EA"/>
    <w:rsid w:val="00EB32C6"/>
    <w:rsid w:val="00ED0FA5"/>
    <w:rsid w:val="00EE59EF"/>
    <w:rsid w:val="00EF61E8"/>
    <w:rsid w:val="00F11D8E"/>
    <w:rsid w:val="00F17827"/>
    <w:rsid w:val="00F42172"/>
    <w:rsid w:val="00F7028A"/>
    <w:rsid w:val="00F96854"/>
    <w:rsid w:val="00F972A8"/>
    <w:rsid w:val="00FA00E3"/>
    <w:rsid w:val="00FB7BAB"/>
    <w:rsid w:val="00FC51C2"/>
    <w:rsid w:val="00FD751A"/>
    <w:rsid w:val="3A716344"/>
    <w:rsid w:val="3B4415E5"/>
    <w:rsid w:val="569A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AD10D"/>
  <w15:docId w15:val="{1D89D427-41B0-4E91-9F10-D804E46C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pPr>
      <w:keepNext/>
      <w:keepLines/>
      <w:spacing w:before="100" w:after="90"/>
      <w:outlineLvl w:val="0"/>
    </w:pPr>
    <w:rPr>
      <w:rFonts w:eastAsia="宋体"/>
      <w:b/>
      <w:kern w:val="44"/>
      <w:sz w:val="28"/>
    </w:rPr>
  </w:style>
  <w:style w:type="paragraph" w:styleId="2">
    <w:name w:val="heading 2"/>
    <w:basedOn w:val="a0"/>
    <w:next w:val="a0"/>
    <w:link w:val="2Char"/>
    <w:uiPriority w:val="9"/>
    <w:unhideWhenUsed/>
    <w:qFormat/>
    <w:rsid w:val="00375E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375EDF"/>
    <w:pPr>
      <w:keepNext/>
      <w:keepLines/>
      <w:spacing w:before="260" w:after="260" w:line="416" w:lineRule="auto"/>
      <w:outlineLvl w:val="2"/>
    </w:pPr>
    <w:rPr>
      <w:b/>
      <w:bCs/>
      <w:sz w:val="32"/>
      <w:szCs w:val="32"/>
    </w:rPr>
  </w:style>
  <w:style w:type="paragraph" w:styleId="5">
    <w:name w:val="heading 5"/>
    <w:basedOn w:val="a0"/>
    <w:next w:val="a0"/>
    <w:link w:val="5Char"/>
    <w:uiPriority w:val="9"/>
    <w:unhideWhenUsed/>
    <w:qFormat/>
    <w:rsid w:val="00375ED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qFormat/>
    <w:pPr>
      <w:spacing w:beforeLines="20" w:before="20" w:afterLines="20" w:after="20" w:line="360" w:lineRule="auto"/>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FFFFFF" w:themeFill="background1"/>
      <w:vAlign w:val="center"/>
    </w:tcPr>
    <w:tblStylePr w:type="firstRow">
      <w:pPr>
        <w:wordWrap/>
        <w:spacing w:line="360" w:lineRule="auto"/>
        <w:jc w:val="center"/>
      </w:pPr>
      <w:rPr>
        <w:rFonts w:ascii="Times New Roman" w:eastAsiaTheme="minorEastAsia" w:hAnsi="Times New Roman"/>
        <w:b/>
        <w:sz w:val="24"/>
      </w:rPr>
      <w:tblPr/>
      <w:tcPr>
        <w:shd w:val="clear" w:color="auto" w:fill="D9D9D9" w:themeFill="background1" w:themeFillShade="D9"/>
      </w:tcPr>
    </w:tblStylePr>
  </w:style>
  <w:style w:type="character" w:customStyle="1" w:styleId="font101">
    <w:name w:val="font101"/>
    <w:basedOn w:val="a1"/>
    <w:rPr>
      <w:rFonts w:ascii="宋体" w:eastAsia="宋体" w:hAnsi="宋体" w:cs="宋体" w:hint="eastAsia"/>
      <w:b/>
      <w:bCs/>
      <w:color w:val="FF0000"/>
      <w:sz w:val="22"/>
      <w:szCs w:val="22"/>
      <w:u w:val="none"/>
    </w:rPr>
  </w:style>
  <w:style w:type="character" w:customStyle="1" w:styleId="font31">
    <w:name w:val="font31"/>
    <w:basedOn w:val="a1"/>
    <w:rPr>
      <w:rFonts w:ascii="宋体" w:eastAsia="宋体" w:hAnsi="宋体" w:cs="宋体" w:hint="eastAsia"/>
      <w:color w:val="FF0000"/>
      <w:sz w:val="22"/>
      <w:szCs w:val="22"/>
      <w:u w:val="none"/>
    </w:rPr>
  </w:style>
  <w:style w:type="character" w:customStyle="1" w:styleId="font112">
    <w:name w:val="font112"/>
    <w:basedOn w:val="a1"/>
    <w:rPr>
      <w:rFonts w:ascii="Times New Roman" w:hAnsi="Times New Roman" w:cs="Times New Roman" w:hint="default"/>
      <w:color w:val="FF0000"/>
      <w:sz w:val="22"/>
      <w:szCs w:val="22"/>
      <w:u w:val="none"/>
    </w:rPr>
  </w:style>
  <w:style w:type="paragraph" w:customStyle="1" w:styleId="360">
    <w:name w:val="正文360首行缩进"/>
    <w:basedOn w:val="a0"/>
    <w:link w:val="360Char"/>
    <w:qFormat/>
    <w:pPr>
      <w:ind w:firstLineChars="200" w:firstLine="200"/>
    </w:pPr>
  </w:style>
  <w:style w:type="paragraph" w:customStyle="1" w:styleId="a">
    <w:name w:val="强调文字"/>
    <w:basedOn w:val="a5"/>
    <w:qFormat/>
    <w:pPr>
      <w:numPr>
        <w:numId w:val="1"/>
      </w:numPr>
      <w:ind w:firstLineChars="0" w:firstLine="0"/>
    </w:pPr>
  </w:style>
  <w:style w:type="paragraph" w:styleId="a5">
    <w:name w:val="List Paragraph"/>
    <w:basedOn w:val="a0"/>
    <w:uiPriority w:val="34"/>
    <w:qFormat/>
    <w:pPr>
      <w:ind w:firstLineChars="200" w:firstLine="420"/>
    </w:pPr>
  </w:style>
  <w:style w:type="paragraph" w:styleId="a6">
    <w:name w:val="header"/>
    <w:basedOn w:val="a0"/>
    <w:link w:val="Char"/>
    <w:rsid w:val="008E0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E0CBF"/>
    <w:rPr>
      <w:rFonts w:asciiTheme="minorHAnsi" w:eastAsiaTheme="minorEastAsia" w:hAnsiTheme="minorHAnsi" w:cstheme="minorBidi"/>
      <w:kern w:val="2"/>
      <w:sz w:val="18"/>
      <w:szCs w:val="18"/>
    </w:rPr>
  </w:style>
  <w:style w:type="paragraph" w:styleId="a7">
    <w:name w:val="footer"/>
    <w:basedOn w:val="a0"/>
    <w:link w:val="Char0"/>
    <w:rsid w:val="008E0CBF"/>
    <w:pPr>
      <w:tabs>
        <w:tab w:val="center" w:pos="4153"/>
        <w:tab w:val="right" w:pos="8306"/>
      </w:tabs>
      <w:snapToGrid w:val="0"/>
      <w:jc w:val="left"/>
    </w:pPr>
    <w:rPr>
      <w:sz w:val="18"/>
      <w:szCs w:val="18"/>
    </w:rPr>
  </w:style>
  <w:style w:type="character" w:customStyle="1" w:styleId="Char0">
    <w:name w:val="页脚 Char"/>
    <w:basedOn w:val="a1"/>
    <w:link w:val="a7"/>
    <w:rsid w:val="008E0CBF"/>
    <w:rPr>
      <w:rFonts w:asciiTheme="minorHAnsi" w:eastAsiaTheme="minorEastAsia" w:hAnsiTheme="minorHAnsi" w:cstheme="minorBidi"/>
      <w:kern w:val="2"/>
      <w:sz w:val="18"/>
      <w:szCs w:val="18"/>
    </w:rPr>
  </w:style>
  <w:style w:type="character" w:customStyle="1" w:styleId="1Char">
    <w:name w:val="标题 1 Char"/>
    <w:basedOn w:val="a1"/>
    <w:link w:val="1"/>
    <w:rsid w:val="005C4229"/>
    <w:rPr>
      <w:rFonts w:asciiTheme="minorHAnsi" w:hAnsiTheme="minorHAnsi" w:cstheme="minorBidi"/>
      <w:b/>
      <w:kern w:val="44"/>
      <w:sz w:val="28"/>
      <w:szCs w:val="24"/>
    </w:rPr>
  </w:style>
  <w:style w:type="character" w:customStyle="1" w:styleId="2Char">
    <w:name w:val="标题 2 Char"/>
    <w:basedOn w:val="a1"/>
    <w:link w:val="2"/>
    <w:uiPriority w:val="9"/>
    <w:rsid w:val="00375EDF"/>
    <w:rPr>
      <w:rFonts w:asciiTheme="majorHAnsi" w:eastAsiaTheme="majorEastAsia" w:hAnsiTheme="majorHAnsi" w:cstheme="majorBidi"/>
      <w:b/>
      <w:bCs/>
      <w:kern w:val="2"/>
      <w:sz w:val="32"/>
      <w:szCs w:val="32"/>
    </w:rPr>
  </w:style>
  <w:style w:type="character" w:customStyle="1" w:styleId="5Char">
    <w:name w:val="标题 5 Char"/>
    <w:basedOn w:val="a1"/>
    <w:link w:val="5"/>
    <w:uiPriority w:val="9"/>
    <w:rsid w:val="00375EDF"/>
    <w:rPr>
      <w:rFonts w:asciiTheme="minorHAnsi" w:eastAsiaTheme="minorEastAsia" w:hAnsiTheme="minorHAnsi" w:cstheme="minorBidi"/>
      <w:b/>
      <w:bCs/>
      <w:kern w:val="2"/>
      <w:sz w:val="28"/>
      <w:szCs w:val="28"/>
    </w:rPr>
  </w:style>
  <w:style w:type="paragraph" w:styleId="a8">
    <w:name w:val="Title"/>
    <w:basedOn w:val="a0"/>
    <w:next w:val="a0"/>
    <w:link w:val="Char1"/>
    <w:qFormat/>
    <w:rsid w:val="00375ED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8"/>
    <w:rsid w:val="00375EDF"/>
    <w:rPr>
      <w:rFonts w:asciiTheme="majorHAnsi" w:hAnsiTheme="majorHAnsi" w:cstheme="majorBidi"/>
      <w:b/>
      <w:bCs/>
      <w:kern w:val="2"/>
      <w:sz w:val="32"/>
      <w:szCs w:val="32"/>
    </w:rPr>
  </w:style>
  <w:style w:type="character" w:customStyle="1" w:styleId="360Char">
    <w:name w:val="正文360首行缩进 Char"/>
    <w:basedOn w:val="a1"/>
    <w:link w:val="360"/>
    <w:qFormat/>
    <w:rsid w:val="00375EDF"/>
    <w:rPr>
      <w:rFonts w:asciiTheme="minorHAnsi" w:eastAsiaTheme="minorEastAsia" w:hAnsiTheme="minorHAnsi" w:cstheme="minorBidi"/>
      <w:kern w:val="2"/>
      <w:sz w:val="21"/>
      <w:szCs w:val="24"/>
    </w:rPr>
  </w:style>
  <w:style w:type="character" w:customStyle="1" w:styleId="3Char">
    <w:name w:val="标题 3 Char"/>
    <w:basedOn w:val="a1"/>
    <w:link w:val="3"/>
    <w:rsid w:val="00375EDF"/>
    <w:rPr>
      <w:rFonts w:asciiTheme="minorHAnsi" w:eastAsiaTheme="minorEastAsia" w:hAnsiTheme="minorHAnsi" w:cstheme="minorBidi"/>
      <w:b/>
      <w:bCs/>
      <w:kern w:val="2"/>
      <w:sz w:val="32"/>
      <w:szCs w:val="32"/>
    </w:rPr>
  </w:style>
  <w:style w:type="paragraph" w:styleId="a9">
    <w:name w:val="Normal (Web)"/>
    <w:basedOn w:val="a0"/>
    <w:uiPriority w:val="99"/>
    <w:unhideWhenUsed/>
    <w:qFormat/>
    <w:rsid w:val="00910ED9"/>
    <w:pPr>
      <w:widowControl/>
      <w:spacing w:before="100" w:beforeAutospacing="1" w:after="100" w:afterAutospacing="1"/>
      <w:jc w:val="left"/>
    </w:pPr>
    <w:rPr>
      <w:rFonts w:ascii="宋体" w:eastAsia="宋体" w:hAnsi="宋体" w:cs="宋体"/>
      <w:kern w:val="0"/>
      <w:sz w:val="24"/>
    </w:rPr>
  </w:style>
  <w:style w:type="character" w:customStyle="1" w:styleId="inline-comment-marker">
    <w:name w:val="inline-comment-marker"/>
    <w:basedOn w:val="a1"/>
    <w:qFormat/>
    <w:rsid w:val="0091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612">
      <w:bodyDiv w:val="1"/>
      <w:marLeft w:val="0"/>
      <w:marRight w:val="0"/>
      <w:marTop w:val="0"/>
      <w:marBottom w:val="0"/>
      <w:divBdr>
        <w:top w:val="none" w:sz="0" w:space="0" w:color="auto"/>
        <w:left w:val="none" w:sz="0" w:space="0" w:color="auto"/>
        <w:bottom w:val="none" w:sz="0" w:space="0" w:color="auto"/>
        <w:right w:val="none" w:sz="0" w:space="0" w:color="auto"/>
      </w:divBdr>
    </w:div>
    <w:div w:id="181313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张春雨</dc:creator>
  <cp:lastModifiedBy>admin</cp:lastModifiedBy>
  <cp:revision>89</cp:revision>
  <dcterms:created xsi:type="dcterms:W3CDTF">2024-04-08T06:58:00Z</dcterms:created>
  <dcterms:modified xsi:type="dcterms:W3CDTF">2024-07-25T09:16:00Z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53B21360254048B8A1F38B6B71BA5434</vt:lpwstr>
  </property>
</Properties>
</file>