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</w:pPr>
      <w:r>
        <w:rPr>
          <w:rFonts w:hint="eastAsia"/>
        </w:rPr>
        <w:t>肌松监测</w:t>
      </w:r>
    </w:p>
    <w:p>
      <w:pPr>
        <w:numPr>
          <w:ilvl w:val="1"/>
          <w:numId w:val="1"/>
        </w:numPr>
      </w:pPr>
      <w:r>
        <w:rPr>
          <w:rFonts w:hint="eastAsia"/>
        </w:rPr>
        <w:t>提供四种刺激模式：四个成串刺激(TOF)、单刺激(Twitch)、强直刺激后计数(PTC)、双短强直刺激(DBS)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用于临床肌松监测</w:t>
      </w:r>
    </w:p>
    <w:p>
      <w:pPr>
        <w:numPr>
          <w:ilvl w:val="1"/>
          <w:numId w:val="1"/>
        </w:numPr>
      </w:pPr>
      <w:r>
        <w:rPr>
          <w:rFonts w:hint="eastAsia"/>
        </w:rPr>
        <w:t>电流脉冲 100、 200 或 300 µsecs ；单相矩形脉冲</w:t>
      </w:r>
    </w:p>
    <w:p>
      <w:pPr>
        <w:numPr>
          <w:ilvl w:val="1"/>
          <w:numId w:val="1"/>
        </w:numPr>
      </w:pPr>
      <w:r>
        <w:rPr>
          <w:rFonts w:hint="eastAsia"/>
        </w:rPr>
        <w:t>电流范围 5 到 60 mA，增量为 5 mA</w:t>
      </w:r>
    </w:p>
    <w:p>
      <w:pPr>
        <w:numPr>
          <w:ilvl w:val="1"/>
          <w:numId w:val="1"/>
        </w:numPr>
      </w:pPr>
      <w:r>
        <w:rPr>
          <w:rFonts w:hint="eastAsia"/>
        </w:rPr>
        <w:t>电流精度 ± 5% 或 ± 2 mA，取其中较大者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FB72A"/>
    <w:multiLevelType w:val="multilevel"/>
    <w:tmpl w:val="F1FFB7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U0N2MyODBhMTNhMmRkYWFmMGUyMjgxYTk1ZTQifQ=="/>
  </w:docVars>
  <w:rsids>
    <w:rsidRoot w:val="287B211C"/>
    <w:rsid w:val="287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2024-07-16T06:17:00Z</dcterms:created>
  <dc:creator>小奥很</dc:creator>
  <cp:lastModifiedBy>小奥很</cp:lastModifiedBy>
  <dcterms:modified xsi:type="dcterms:W3CDTF">2024-07-16T06:18:05Z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E6142029FCD346888A2677C4BC34E32D_11</vt:lpwstr>
  </property>
</Properties>
</file>