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BEAC6" w14:textId="29EAD26A" w:rsidR="007C06CB" w:rsidRPr="004F6D4C" w:rsidRDefault="004F6D4C">
      <w:pPr>
        <w:ind w:firstLine="562"/>
        <w:jc w:val="center"/>
        <w:rPr>
          <w:b/>
          <w:bCs/>
          <w:sz w:val="28"/>
          <w:szCs w:val="28"/>
        </w:rPr>
      </w:pPr>
      <w:r w:rsidRPr="004F6D4C">
        <w:rPr>
          <w:rFonts w:hint="eastAsia"/>
          <w:b/>
          <w:bCs/>
          <w:sz w:val="28"/>
          <w:szCs w:val="28"/>
        </w:rPr>
        <w:t>交换机参数</w:t>
      </w:r>
    </w:p>
    <w:p w14:paraId="768A70D6" w14:textId="77777777" w:rsidR="007C06CB" w:rsidRDefault="007C06CB">
      <w:pPr>
        <w:ind w:firstLineChars="0" w:firstLine="0"/>
        <w:rPr>
          <w:sz w:val="21"/>
          <w:szCs w:val="21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20"/>
        <w:gridCol w:w="1184"/>
      </w:tblGrid>
      <w:tr w:rsidR="004F6D4C" w14:paraId="0E2D144A" w14:textId="77777777" w:rsidTr="00DE2DFE">
        <w:trPr>
          <w:trHeight w:val="330"/>
          <w:jc w:val="center"/>
        </w:trPr>
        <w:tc>
          <w:tcPr>
            <w:tcW w:w="6220" w:type="dxa"/>
          </w:tcPr>
          <w:p w14:paraId="253A0ED1" w14:textId="77777777" w:rsidR="004F6D4C" w:rsidRPr="004F6D4C" w:rsidRDefault="004F6D4C" w:rsidP="00CF3AD3">
            <w:pPr>
              <w:ind w:firstLineChars="0" w:firstLine="0"/>
              <w:jc w:val="center"/>
              <w:rPr>
                <w:b/>
                <w:bCs/>
                <w:sz w:val="22"/>
                <w:szCs w:val="18"/>
              </w:rPr>
            </w:pPr>
            <w:r w:rsidRPr="004F6D4C">
              <w:rPr>
                <w:rFonts w:hint="eastAsia"/>
                <w:b/>
                <w:bCs/>
                <w:sz w:val="22"/>
                <w:szCs w:val="18"/>
              </w:rPr>
              <w:t>配置要求</w:t>
            </w:r>
          </w:p>
        </w:tc>
        <w:tc>
          <w:tcPr>
            <w:tcW w:w="1184" w:type="dxa"/>
          </w:tcPr>
          <w:p w14:paraId="3F572B83" w14:textId="77777777" w:rsidR="004F6D4C" w:rsidRPr="004F6D4C" w:rsidRDefault="004F6D4C" w:rsidP="00CF3AD3">
            <w:pPr>
              <w:ind w:firstLineChars="0" w:firstLine="0"/>
              <w:jc w:val="center"/>
              <w:rPr>
                <w:b/>
                <w:bCs/>
                <w:sz w:val="22"/>
                <w:szCs w:val="18"/>
              </w:rPr>
            </w:pPr>
            <w:r w:rsidRPr="004F6D4C">
              <w:rPr>
                <w:rFonts w:hint="eastAsia"/>
                <w:b/>
                <w:bCs/>
                <w:sz w:val="22"/>
                <w:szCs w:val="18"/>
              </w:rPr>
              <w:t>数量</w:t>
            </w:r>
          </w:p>
        </w:tc>
      </w:tr>
      <w:tr w:rsidR="004F6D4C" w14:paraId="0E07081E" w14:textId="77777777" w:rsidTr="00DE2DFE">
        <w:trPr>
          <w:trHeight w:val="1879"/>
          <w:jc w:val="center"/>
        </w:trPr>
        <w:tc>
          <w:tcPr>
            <w:tcW w:w="6220" w:type="dxa"/>
          </w:tcPr>
          <w:tbl>
            <w:tblPr>
              <w:tblStyle w:val="1"/>
              <w:tblpPr w:leftFromText="180" w:rightFromText="180" w:vertAnchor="text" w:horzAnchor="margin" w:tblpXSpec="center" w:tblpY="26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699"/>
              <w:gridCol w:w="726"/>
              <w:gridCol w:w="4569"/>
            </w:tblGrid>
            <w:tr w:rsidR="004F6D4C" w:rsidRPr="00DE2DFE" w14:paraId="1B1AF895" w14:textId="77777777" w:rsidTr="00DE2DFE">
              <w:tc>
                <w:tcPr>
                  <w:tcW w:w="583" w:type="pct"/>
                  <w:vMerge w:val="restart"/>
                  <w:vAlign w:val="center"/>
                </w:tcPr>
                <w:p w14:paraId="1D12D3AD" w14:textId="77777777" w:rsidR="00DE2DFE" w:rsidRDefault="004F6D4C" w:rsidP="00DE2DFE">
                  <w:pPr>
                    <w:spacing w:line="276" w:lineRule="auto"/>
                    <w:ind w:firstLineChars="0" w:firstLine="0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交</w:t>
                  </w:r>
                </w:p>
                <w:p w14:paraId="5EB17BCF" w14:textId="77777777" w:rsidR="00DE2DFE" w:rsidRDefault="004F6D4C" w:rsidP="00DE2DFE">
                  <w:pPr>
                    <w:spacing w:line="276" w:lineRule="auto"/>
                    <w:ind w:firstLineChars="0" w:firstLine="0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换</w:t>
                  </w:r>
                </w:p>
                <w:p w14:paraId="75F68D2C" w14:textId="764F63B8" w:rsidR="004F6D4C" w:rsidRPr="00DE2DFE" w:rsidRDefault="004F6D4C" w:rsidP="00DE2DFE">
                  <w:pPr>
                    <w:spacing w:line="276" w:lineRule="auto"/>
                    <w:ind w:firstLineChars="0" w:firstLine="0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机</w:t>
                  </w:r>
                </w:p>
              </w:tc>
              <w:tc>
                <w:tcPr>
                  <w:tcW w:w="606" w:type="pct"/>
                  <w:vAlign w:val="center"/>
                </w:tcPr>
                <w:p w14:paraId="0E92BFF5" w14:textId="77777777" w:rsidR="004F6D4C" w:rsidRPr="00DE2DFE" w:rsidRDefault="004F6D4C" w:rsidP="0055645D">
                  <w:pPr>
                    <w:spacing w:line="276" w:lineRule="auto"/>
                    <w:ind w:firstLineChars="0" w:firstLine="0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指标项</w:t>
                  </w:r>
                </w:p>
              </w:tc>
              <w:tc>
                <w:tcPr>
                  <w:tcW w:w="3811" w:type="pct"/>
                  <w:vAlign w:val="center"/>
                </w:tcPr>
                <w:p w14:paraId="2EDACDEE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/>
                      <w:sz w:val="20"/>
                      <w:szCs w:val="20"/>
                    </w:rPr>
                    <w:t>参数要求</w:t>
                  </w:r>
                </w:p>
              </w:tc>
            </w:tr>
            <w:tr w:rsidR="004F6D4C" w:rsidRPr="00DE2DFE" w14:paraId="03D7D50F" w14:textId="77777777" w:rsidTr="00DE2DFE">
              <w:tc>
                <w:tcPr>
                  <w:tcW w:w="583" w:type="pct"/>
                  <w:vMerge/>
                  <w:vAlign w:val="center"/>
                </w:tcPr>
                <w:p w14:paraId="74BF2CCA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 w:val="restart"/>
                  <w:vAlign w:val="center"/>
                </w:tcPr>
                <w:p w14:paraId="65263838" w14:textId="77777777" w:rsidR="004F6D4C" w:rsidRPr="00DE2DFE" w:rsidRDefault="004F6D4C" w:rsidP="0055645D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万兆交换机</w:t>
                  </w:r>
                </w:p>
              </w:tc>
              <w:tc>
                <w:tcPr>
                  <w:tcW w:w="3811" w:type="pct"/>
                  <w:vAlign w:val="center"/>
                </w:tcPr>
                <w:p w14:paraId="0647997C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★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端口数：≥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 xml:space="preserve">48 </w:t>
                  </w:r>
                  <w:proofErr w:type="gramStart"/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个</w:t>
                  </w:r>
                  <w:proofErr w:type="gramEnd"/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 xml:space="preserve"> SFP28 (10/25GbE) 和 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≥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 xml:space="preserve">8 </w:t>
                  </w:r>
                  <w:proofErr w:type="gramStart"/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个</w:t>
                  </w:r>
                  <w:proofErr w:type="gramEnd"/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 xml:space="preserve"> QSFP28 端口（10/40 或 25/50/100GbE）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，高度为1U；</w:t>
                  </w:r>
                </w:p>
              </w:tc>
            </w:tr>
            <w:tr w:rsidR="004F6D4C" w:rsidRPr="00DE2DFE" w14:paraId="3472027A" w14:textId="77777777" w:rsidTr="00DE2DFE">
              <w:tc>
                <w:tcPr>
                  <w:tcW w:w="583" w:type="pct"/>
                  <w:vMerge/>
                  <w:vAlign w:val="center"/>
                </w:tcPr>
                <w:p w14:paraId="0A155DF8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70C2AB70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7737D84D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★配置端口：每台激活1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10GE端口，8个1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00GE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端口；配置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个1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 xml:space="preserve">0KM 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10GE长波模块 ，6个1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  <w:t>00GE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模块；</w:t>
                  </w:r>
                </w:p>
              </w:tc>
            </w:tr>
            <w:tr w:rsidR="004F6D4C" w:rsidRPr="00DE2DFE" w14:paraId="0237DE1E" w14:textId="77777777" w:rsidTr="00DE2DFE">
              <w:tc>
                <w:tcPr>
                  <w:tcW w:w="583" w:type="pct"/>
                  <w:vMerge/>
                  <w:vAlign w:val="center"/>
                </w:tcPr>
                <w:p w14:paraId="14D5C995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68A302A3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50A9192E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★数量：</w:t>
                  </w:r>
                  <w:r w:rsidRPr="00DE2DFE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台；</w:t>
                  </w:r>
                </w:p>
              </w:tc>
            </w:tr>
            <w:tr w:rsidR="004F6D4C" w:rsidRPr="00DE2DFE" w14:paraId="425C450B" w14:textId="77777777" w:rsidTr="00DE2DFE">
              <w:tc>
                <w:tcPr>
                  <w:tcW w:w="583" w:type="pct"/>
                  <w:vMerge/>
                  <w:vAlign w:val="center"/>
                </w:tcPr>
                <w:p w14:paraId="3450E7A9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1ED4122B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48C9C8F2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交换容量：</w:t>
                  </w:r>
                  <w:r w:rsidRPr="00DE2DFE"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  <w:t>4Tbps</w:t>
                  </w: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；</w:t>
                  </w:r>
                </w:p>
                <w:p w14:paraId="002ED724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  <w:t>最大转发速率：每秒十亿数据包 (</w:t>
                  </w:r>
                  <w:proofErr w:type="spellStart"/>
                  <w:r w:rsidRPr="00DE2DFE"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  <w:t>Bpps</w:t>
                  </w:r>
                  <w:proofErr w:type="spellEnd"/>
                  <w:r w:rsidRPr="00DE2DFE"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  <w:t>)</w:t>
                  </w: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；</w:t>
                  </w:r>
                </w:p>
                <w:p w14:paraId="200030C9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  <w:t>延迟：超低延迟</w:t>
                  </w: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；</w:t>
                  </w:r>
                </w:p>
              </w:tc>
            </w:tr>
            <w:tr w:rsidR="004F6D4C" w:rsidRPr="00DE2DFE" w14:paraId="3E6072DC" w14:textId="77777777" w:rsidTr="00DE2DFE">
              <w:tc>
                <w:tcPr>
                  <w:tcW w:w="583" w:type="pct"/>
                  <w:vMerge/>
                  <w:vAlign w:val="center"/>
                </w:tcPr>
                <w:p w14:paraId="68D19DCC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4C9F7D0A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1D8CD1FC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电源1+1备份，</w:t>
                  </w:r>
                  <w:r w:rsidRPr="00DE2DFE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冗余电源（含电源线）；</w:t>
                  </w:r>
                </w:p>
              </w:tc>
            </w:tr>
            <w:tr w:rsidR="004F6D4C" w:rsidRPr="00DE2DFE" w14:paraId="096AF4AA" w14:textId="77777777" w:rsidTr="00DE2DFE">
              <w:tc>
                <w:tcPr>
                  <w:tcW w:w="583" w:type="pct"/>
                  <w:vMerge/>
                  <w:vAlign w:val="center"/>
                </w:tcPr>
                <w:p w14:paraId="1523323F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024B69F1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222BE7DE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bCs/>
                      <w:color w:val="000000"/>
                      <w:sz w:val="20"/>
                      <w:szCs w:val="20"/>
                    </w:rPr>
                    <w:t>支持前后、后前风道；</w:t>
                  </w:r>
                </w:p>
              </w:tc>
            </w:tr>
            <w:tr w:rsidR="004F6D4C" w:rsidRPr="00DE2DFE" w14:paraId="430716CA" w14:textId="77777777" w:rsidTr="00DE2DFE">
              <w:tc>
                <w:tcPr>
                  <w:tcW w:w="583" w:type="pct"/>
                  <w:vMerge/>
                  <w:vAlign w:val="center"/>
                </w:tcPr>
                <w:p w14:paraId="6738CD09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14:paraId="091EC3B7" w14:textId="77777777" w:rsidR="004F6D4C" w:rsidRPr="00DE2DFE" w:rsidRDefault="004F6D4C" w:rsidP="0055645D">
                  <w:pPr>
                    <w:widowControl/>
                    <w:ind w:firstLine="400"/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11" w:type="pct"/>
                  <w:vAlign w:val="center"/>
                </w:tcPr>
                <w:p w14:paraId="7C46F71A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操作系统：基于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 xml:space="preserve"> Linux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  <w:p w14:paraId="4982A66B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数据包处理：L2、L3 v4/v6、MLAG、ECMP、ACL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  <w:p w14:paraId="34372805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存储流：PFC、ECN、无损流量类、DCTCP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</w:tc>
            </w:tr>
            <w:tr w:rsidR="004F6D4C" w:rsidRPr="00DE2DFE" w14:paraId="3F977B5A" w14:textId="77777777" w:rsidTr="00DE2DFE">
              <w:tc>
                <w:tcPr>
                  <w:tcW w:w="583" w:type="pct"/>
                  <w:vMerge/>
                  <w:vAlign w:val="center"/>
                </w:tcPr>
                <w:p w14:paraId="02022E76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Align w:val="center"/>
                </w:tcPr>
                <w:p w14:paraId="28BD07A3" w14:textId="77777777" w:rsidR="004F6D4C" w:rsidRPr="00DE2DFE" w:rsidRDefault="004F6D4C" w:rsidP="0055645D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兼容性</w:t>
                  </w:r>
                </w:p>
              </w:tc>
              <w:tc>
                <w:tcPr>
                  <w:tcW w:w="3811" w:type="pct"/>
                  <w:vAlign w:val="center"/>
                </w:tcPr>
                <w:p w14:paraId="76DAB67B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支持现有存储双</w:t>
                  </w:r>
                  <w:proofErr w:type="gramStart"/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活环境</w:t>
                  </w:r>
                  <w:proofErr w:type="gramEnd"/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的部署；</w:t>
                  </w:r>
                </w:p>
              </w:tc>
            </w:tr>
            <w:tr w:rsidR="004F6D4C" w:rsidRPr="00DE2DFE" w14:paraId="0119792E" w14:textId="77777777" w:rsidTr="00DE2DFE">
              <w:tc>
                <w:tcPr>
                  <w:tcW w:w="583" w:type="pct"/>
                  <w:vMerge/>
                  <w:vAlign w:val="center"/>
                </w:tcPr>
                <w:p w14:paraId="3164107A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Align w:val="center"/>
                </w:tcPr>
                <w:p w14:paraId="66D8D78F" w14:textId="77777777" w:rsidR="004F6D4C" w:rsidRPr="00DE2DFE" w:rsidRDefault="004F6D4C" w:rsidP="0055645D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拥塞功能</w:t>
                  </w:r>
                </w:p>
              </w:tc>
              <w:tc>
                <w:tcPr>
                  <w:tcW w:w="3811" w:type="pct"/>
                  <w:vAlign w:val="center"/>
                </w:tcPr>
                <w:p w14:paraId="27D26E7B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spellStart"/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QoS</w:t>
                  </w:r>
                  <w:proofErr w:type="spellEnd"/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/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拥塞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分类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  <w:p w14:paraId="4EE51CE1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支持E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CN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功能；</w:t>
                  </w:r>
                </w:p>
                <w:p w14:paraId="4691C66B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 xml:space="preserve">L4 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port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-</w:t>
                  </w:r>
                  <w:proofErr w:type="spellStart"/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vlan</w:t>
                  </w:r>
                  <w:proofErr w:type="spellEnd"/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负载平衡策略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  <w:p w14:paraId="6175D92D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二级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流量控制L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2FC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</w:tc>
            </w:tr>
            <w:tr w:rsidR="004F6D4C" w:rsidRPr="00DE2DFE" w14:paraId="25432A24" w14:textId="77777777" w:rsidTr="00DE2DFE">
              <w:tc>
                <w:tcPr>
                  <w:tcW w:w="583" w:type="pct"/>
                  <w:vMerge/>
                  <w:vAlign w:val="center"/>
                </w:tcPr>
                <w:p w14:paraId="494A876B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Align w:val="center"/>
                </w:tcPr>
                <w:p w14:paraId="4B39E611" w14:textId="77777777" w:rsidR="004F6D4C" w:rsidRPr="00DE2DFE" w:rsidRDefault="004F6D4C" w:rsidP="0055645D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  <w:t>二层网络</w:t>
                  </w:r>
                </w:p>
              </w:tc>
              <w:tc>
                <w:tcPr>
                  <w:tcW w:w="3811" w:type="pct"/>
                  <w:vAlign w:val="center"/>
                </w:tcPr>
                <w:p w14:paraId="073C0973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Round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-Trip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延迟≤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7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m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s，数据包丢失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≤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0.01%，抖动</w:t>
                  </w: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≤</w:t>
                  </w:r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DE2DFE">
                    <w:rPr>
                      <w:rFonts w:ascii="宋体" w:eastAsia="宋体" w:hAnsi="宋体" w:cs="宋体"/>
                      <w:sz w:val="20"/>
                      <w:szCs w:val="20"/>
                    </w:rPr>
                    <w:t>ms</w:t>
                  </w:r>
                  <w:proofErr w:type="spellEnd"/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；</w:t>
                  </w:r>
                </w:p>
              </w:tc>
            </w:tr>
            <w:tr w:rsidR="004F6D4C" w:rsidRPr="00DE2DFE" w14:paraId="58068BF3" w14:textId="77777777" w:rsidTr="00DE2DFE">
              <w:tc>
                <w:tcPr>
                  <w:tcW w:w="583" w:type="pct"/>
                  <w:vMerge/>
                  <w:vAlign w:val="center"/>
                </w:tcPr>
                <w:p w14:paraId="1CB464BF" w14:textId="77777777" w:rsidR="004F6D4C" w:rsidRPr="00DE2DFE" w:rsidRDefault="004F6D4C" w:rsidP="0055645D">
                  <w:pPr>
                    <w:spacing w:line="276" w:lineRule="auto"/>
                    <w:ind w:firstLine="400"/>
                    <w:jc w:val="center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Align w:val="center"/>
                </w:tcPr>
                <w:p w14:paraId="4F89B9AB" w14:textId="77777777" w:rsidR="004F6D4C" w:rsidRPr="00DE2DFE" w:rsidRDefault="004F6D4C" w:rsidP="0055645D">
                  <w:pPr>
                    <w:widowControl/>
                    <w:ind w:firstLineChars="0" w:firstLine="0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sz w:val="20"/>
                      <w:szCs w:val="20"/>
                    </w:rPr>
                    <w:t>服务要求</w:t>
                  </w:r>
                </w:p>
              </w:tc>
              <w:tc>
                <w:tcPr>
                  <w:tcW w:w="3811" w:type="pct"/>
                  <w:vAlign w:val="center"/>
                </w:tcPr>
                <w:p w14:paraId="71A4BD7E" w14:textId="77777777" w:rsidR="004F6D4C" w:rsidRPr="00DE2DFE" w:rsidRDefault="004F6D4C" w:rsidP="00DE2DFE">
                  <w:pPr>
                    <w:widowControl/>
                    <w:ind w:firstLineChars="0" w:firstLine="0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DE2D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★</w:t>
                  </w:r>
                  <w:r w:rsidRPr="00DE2DFE"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DE2DFE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年原厂保修服务</w:t>
                  </w:r>
                </w:p>
              </w:tc>
            </w:tr>
          </w:tbl>
          <w:p w14:paraId="4F459835" w14:textId="00586AF2" w:rsidR="004F6D4C" w:rsidRPr="00DE2DFE" w:rsidRDefault="004F6D4C">
            <w:pPr>
              <w:ind w:firstLine="400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BECFF32" w14:textId="233CFE5A" w:rsidR="004F6D4C" w:rsidRPr="00DE2DFE" w:rsidRDefault="004F6D4C" w:rsidP="00DE2DFE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2DFE">
              <w:rPr>
                <w:rFonts w:ascii="Times New Roman" w:hAnsi="Times New Roman" w:cs="Times New Roman"/>
                <w:sz w:val="20"/>
                <w:szCs w:val="20"/>
              </w:rPr>
              <w:t>台</w:t>
            </w:r>
          </w:p>
        </w:tc>
      </w:tr>
    </w:tbl>
    <w:p w14:paraId="68574410" w14:textId="77777777" w:rsidR="007C06CB" w:rsidRDefault="007C06CB">
      <w:pPr>
        <w:ind w:firstLineChars="0" w:firstLine="420"/>
        <w:rPr>
          <w:sz w:val="21"/>
          <w:szCs w:val="21"/>
        </w:rPr>
      </w:pPr>
    </w:p>
    <w:p w14:paraId="4A1B1B49" w14:textId="77777777" w:rsidR="007C06CB" w:rsidRDefault="007C06CB">
      <w:pPr>
        <w:ind w:firstLineChars="0" w:firstLine="420"/>
        <w:rPr>
          <w:sz w:val="21"/>
          <w:szCs w:val="21"/>
        </w:rPr>
      </w:pPr>
    </w:p>
    <w:p w14:paraId="0CF2952A" w14:textId="1C35368A" w:rsidR="004F6D4C" w:rsidRDefault="001E42F4" w:rsidP="004F6D4C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="004F6D4C" w:rsidRPr="00EC745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★</w:t>
      </w:r>
      <w:r w:rsidR="004F6D4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为必须满足项，不满足视为不通过</w:t>
      </w:r>
    </w:p>
    <w:p w14:paraId="51513756" w14:textId="6094DF13" w:rsidR="007C06CB" w:rsidRDefault="007C06CB">
      <w:pPr>
        <w:ind w:firstLineChars="0" w:firstLine="0"/>
        <w:rPr>
          <w:sz w:val="21"/>
          <w:szCs w:val="21"/>
        </w:rPr>
      </w:pPr>
    </w:p>
    <w:sectPr w:rsidR="007C0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CCD18" w14:textId="77777777" w:rsidR="00EA4DD4" w:rsidRDefault="00EA4DD4" w:rsidP="00186A2D">
      <w:pPr>
        <w:ind w:firstLine="640"/>
      </w:pPr>
      <w:r>
        <w:separator/>
      </w:r>
    </w:p>
  </w:endnote>
  <w:endnote w:type="continuationSeparator" w:id="0">
    <w:p w14:paraId="2B1B710B" w14:textId="77777777" w:rsidR="00EA4DD4" w:rsidRDefault="00EA4DD4" w:rsidP="00186A2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320D" w14:textId="77777777" w:rsidR="00186A2D" w:rsidRDefault="00186A2D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9D88" w14:textId="77777777" w:rsidR="00186A2D" w:rsidRDefault="00186A2D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FB27" w14:textId="77777777" w:rsidR="00186A2D" w:rsidRDefault="00186A2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58FA" w14:textId="77777777" w:rsidR="00EA4DD4" w:rsidRDefault="00EA4DD4" w:rsidP="00186A2D">
      <w:pPr>
        <w:ind w:firstLine="640"/>
      </w:pPr>
      <w:r>
        <w:separator/>
      </w:r>
    </w:p>
  </w:footnote>
  <w:footnote w:type="continuationSeparator" w:id="0">
    <w:p w14:paraId="6FEBB59E" w14:textId="77777777" w:rsidR="00EA4DD4" w:rsidRDefault="00EA4DD4" w:rsidP="00186A2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0D3A" w14:textId="77777777" w:rsidR="00186A2D" w:rsidRDefault="00186A2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6C76" w14:textId="77777777" w:rsidR="00186A2D" w:rsidRDefault="00186A2D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020E" w14:textId="77777777" w:rsidR="00186A2D" w:rsidRDefault="00186A2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63998"/>
    <w:rsid w:val="00186A2D"/>
    <w:rsid w:val="001B4D83"/>
    <w:rsid w:val="001E42F4"/>
    <w:rsid w:val="00295B2A"/>
    <w:rsid w:val="004F6D4C"/>
    <w:rsid w:val="0055645D"/>
    <w:rsid w:val="007C06CB"/>
    <w:rsid w:val="009C1EE8"/>
    <w:rsid w:val="00CF3AD3"/>
    <w:rsid w:val="00DC198A"/>
    <w:rsid w:val="00DE2DFE"/>
    <w:rsid w:val="00EA4DD4"/>
    <w:rsid w:val="00FC628E"/>
    <w:rsid w:val="1F563998"/>
    <w:rsid w:val="1FAF646C"/>
    <w:rsid w:val="303605EA"/>
    <w:rsid w:val="399748AA"/>
    <w:rsid w:val="3E2024A5"/>
    <w:rsid w:val="48CA3C4F"/>
    <w:rsid w:val="4B7D75AC"/>
    <w:rsid w:val="4E7707D7"/>
    <w:rsid w:val="5B24705E"/>
    <w:rsid w:val="60622029"/>
    <w:rsid w:val="712175BE"/>
    <w:rsid w:val="74B8505A"/>
    <w:rsid w:val="7A0A5E7A"/>
    <w:rsid w:val="7DD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52AA"/>
  <w15:docId w15:val="{0CEE61A4-3322-4A35-BB4E-0F049C8E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1044"/>
    </w:pPr>
    <w:rPr>
      <w:kern w:val="2"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黑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落款"/>
    <w:basedOn w:val="a"/>
    <w:qFormat/>
    <w:pPr>
      <w:ind w:leftChars="600" w:left="600" w:firstLine="883"/>
      <w:jc w:val="center"/>
    </w:pPr>
    <w:rPr>
      <w:szCs w:val="24"/>
    </w:rPr>
  </w:style>
  <w:style w:type="paragraph" w:styleId="a5">
    <w:name w:val="header"/>
    <w:basedOn w:val="a"/>
    <w:link w:val="Char"/>
    <w:rsid w:val="0018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6A2D"/>
    <w:rPr>
      <w:kern w:val="2"/>
      <w:sz w:val="18"/>
      <w:szCs w:val="18"/>
    </w:rPr>
  </w:style>
  <w:style w:type="paragraph" w:styleId="a6">
    <w:name w:val="footer"/>
    <w:basedOn w:val="a"/>
    <w:link w:val="Char0"/>
    <w:rsid w:val="00186A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6A2D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rsid w:val="0055645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张琼汉</dc:creator>
  <cp:lastModifiedBy>Windows 用户</cp:lastModifiedBy>
  <cp:revision>8</cp:revision>
  <cp:lastPrinted>2020-09-30T13:02:00Z</cp:lastPrinted>
  <dcterms:created xsi:type="dcterms:W3CDTF">2023-09-07T01:19:00Z</dcterms:created>
  <dcterms:modified xsi:type="dcterms:W3CDTF">2023-09-11T03:19:00Z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