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2123" w:tblpY="2219"/>
        <w:tblOverlap w:val="neve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6937"/>
      </w:tblGrid>
      <w:tr w:rsidR="00E50F70">
        <w:trPr>
          <w:trHeight w:val="696"/>
        </w:trPr>
        <w:tc>
          <w:tcPr>
            <w:tcW w:w="938" w:type="dxa"/>
            <w:vAlign w:val="center"/>
          </w:tcPr>
          <w:p w:rsidR="00E50F70" w:rsidRDefault="00D9253F">
            <w:pPr>
              <w:adjustRightInd w:val="0"/>
              <w:snapToGrid w:val="0"/>
              <w:spacing w:line="360" w:lineRule="auto"/>
              <w:jc w:val="center"/>
              <w:rPr>
                <w:rFonts w:ascii="宋体" w:hAnsi="宋体"/>
                <w:color w:val="000000"/>
                <w:sz w:val="20"/>
              </w:rPr>
            </w:pPr>
            <w:r>
              <w:rPr>
                <w:rFonts w:ascii="宋体" w:hAnsi="宋体"/>
                <w:color w:val="000000"/>
                <w:sz w:val="20"/>
              </w:rPr>
              <w:t>1</w:t>
            </w: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投标人所提供的服务应符合国家有关部门规定的相应技术法规及标准要求。</w:t>
            </w:r>
          </w:p>
        </w:tc>
      </w:tr>
      <w:tr w:rsidR="00E50F70">
        <w:trPr>
          <w:trHeight w:val="712"/>
        </w:trPr>
        <w:tc>
          <w:tcPr>
            <w:tcW w:w="938" w:type="dxa"/>
            <w:vAlign w:val="center"/>
          </w:tcPr>
          <w:p w:rsidR="00E50F70" w:rsidRDefault="00D9253F">
            <w:pPr>
              <w:adjustRightInd w:val="0"/>
              <w:snapToGrid w:val="0"/>
              <w:spacing w:line="360" w:lineRule="auto"/>
              <w:jc w:val="center"/>
              <w:rPr>
                <w:rFonts w:ascii="宋体" w:hAnsi="宋体"/>
                <w:color w:val="000000"/>
                <w:sz w:val="20"/>
              </w:rPr>
            </w:pPr>
            <w:r>
              <w:rPr>
                <w:rFonts w:ascii="宋体" w:hAnsi="宋体" w:hint="eastAsia"/>
                <w:color w:val="000000"/>
                <w:sz w:val="20"/>
              </w:rPr>
              <w:t>2</w:t>
            </w: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维保设备情况</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2.1维保服务期内，投标人提供任何由于在保机器正常使用引起的故障及损坏（除人为因素损坏外）的免费维修，</w:t>
            </w:r>
            <w:r>
              <w:rPr>
                <w:rFonts w:ascii="宋体" w:hAnsi="宋体" w:hint="eastAsia"/>
                <w:color w:val="000000"/>
                <w:sz w:val="20"/>
                <w:highlight w:val="yellow"/>
              </w:rPr>
              <w:t>含设备所配探头故障及损坏的更新。</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2.2定期巡检保养：在一年内提供</w:t>
            </w:r>
            <w:r>
              <w:rPr>
                <w:rFonts w:ascii="宋体" w:hAnsi="宋体" w:hint="eastAsia"/>
                <w:color w:val="000000"/>
                <w:sz w:val="20"/>
                <w:highlight w:val="yellow"/>
              </w:rPr>
              <w:t>≥1</w:t>
            </w:r>
            <w:r>
              <w:rPr>
                <w:rFonts w:ascii="宋体" w:hAnsi="宋体" w:hint="eastAsia"/>
                <w:color w:val="000000"/>
                <w:sz w:val="20"/>
              </w:rPr>
              <w:t>次定期维护。每次维护保养完成后，须向采购人提供维护保养报告。定期的维护保养服务包括：设备除尘保养、日志整理分析，协助备份图像等。在一年内提供≥</w:t>
            </w:r>
            <w:r>
              <w:rPr>
                <w:rFonts w:ascii="宋体" w:hAnsi="宋体"/>
                <w:color w:val="000000"/>
                <w:sz w:val="20"/>
              </w:rPr>
              <w:t>1</w:t>
            </w:r>
            <w:r>
              <w:rPr>
                <w:rFonts w:ascii="宋体" w:hAnsi="宋体" w:hint="eastAsia"/>
                <w:color w:val="000000"/>
                <w:sz w:val="20"/>
              </w:rPr>
              <w:t>次的巡检。检查设备的运行情况、安全检查，探头检测，影像质量检查等，并及时排除发现的故障。</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2.3任何经投标人使用的备件须保证经过原厂安全和性能检测合格。</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2.4投标人在采购人所在地有一个稳定的常驻服务机构。投标人的工程技术人员应具有相应设备的维修服务资质，常驻采购人所在地的工程服务人员≥2名，需提供设备制造商或其授权机构颁发的培训合格证书复印件，投标人应提供书面声明。</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2.5投标人设有至少一个库房，其存量要保障90%以上的需用备件国内有库存</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2.6投标人应保证设备开机率≥9</w:t>
            </w:r>
            <w:r>
              <w:rPr>
                <w:rFonts w:ascii="宋体" w:hAnsi="宋体"/>
                <w:color w:val="000000"/>
                <w:sz w:val="20"/>
              </w:rPr>
              <w:t>0</w:t>
            </w:r>
            <w:r>
              <w:rPr>
                <w:rFonts w:ascii="宋体" w:hAnsi="宋体" w:hint="eastAsia"/>
                <w:color w:val="000000"/>
                <w:sz w:val="20"/>
              </w:rPr>
              <w:t>%</w:t>
            </w:r>
            <w:r>
              <w:rPr>
                <w:rFonts w:ascii="宋体" w:hAnsi="宋体" w:hint="eastAsia"/>
                <w:spacing w:val="-2"/>
                <w:sz w:val="18"/>
                <w:szCs w:val="18"/>
                <w:lang w:val="en-AU"/>
              </w:rPr>
              <w:t>（</w:t>
            </w:r>
            <w:r>
              <w:rPr>
                <w:rFonts w:ascii="宋体" w:hAnsi="宋体" w:hint="eastAsia"/>
                <w:spacing w:val="-2"/>
                <w:sz w:val="18"/>
                <w:szCs w:val="18"/>
                <w:highlight w:val="yellow"/>
                <w:lang w:val="en-AU"/>
              </w:rPr>
              <w:t>即周一至周五，上午八时三十分至下午五时三十分，公众假日除外，全年250个工作日）</w:t>
            </w:r>
            <w:r>
              <w:rPr>
                <w:rFonts w:ascii="宋体" w:hAnsi="宋体" w:hint="eastAsia"/>
                <w:color w:val="000000"/>
                <w:sz w:val="20"/>
                <w:highlight w:val="yellow"/>
              </w:rPr>
              <w:t>。</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2.7投标人应具备客户服务专线电话服务系统。电话中心每年365天开通， 并有专人接听，每天开通服务时间≥12小时。</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E50F70"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2.8响应时间要求：投标人</w:t>
            </w:r>
            <w:proofErr w:type="gramStart"/>
            <w:r>
              <w:rPr>
                <w:rFonts w:ascii="宋体" w:hAnsi="宋体" w:hint="eastAsia"/>
                <w:color w:val="000000"/>
                <w:sz w:val="20"/>
              </w:rPr>
              <w:t>应接获报修</w:t>
            </w:r>
            <w:proofErr w:type="gramEnd"/>
            <w:r>
              <w:rPr>
                <w:rFonts w:ascii="宋体" w:hAnsi="宋体" w:hint="eastAsia"/>
                <w:color w:val="000000"/>
                <w:sz w:val="20"/>
              </w:rPr>
              <w:t>电话后提供突发性问题的解决措施及特殊紧急的合理化处理措施。客户服务电话7天乘24小时全天候响应：设备发生故障，投标人应接到维修通知后，工程师在电话指导保修设备操作人员仍不能排除故障时，本地维修工程师现场到达时间≤48小时。需要更换零备件，零备件到达医院的时间最长不超过96小时，特殊情况双方协商解决。</w:t>
            </w:r>
          </w:p>
        </w:tc>
      </w:tr>
      <w:tr w:rsidR="00E50F70">
        <w:trPr>
          <w:trHeight w:val="930"/>
        </w:trPr>
        <w:tc>
          <w:tcPr>
            <w:tcW w:w="938" w:type="dxa"/>
            <w:vAlign w:val="center"/>
          </w:tcPr>
          <w:p w:rsidR="00E50F70" w:rsidRDefault="00E50F70">
            <w:pPr>
              <w:adjustRightInd w:val="0"/>
              <w:snapToGrid w:val="0"/>
              <w:spacing w:line="360" w:lineRule="auto"/>
              <w:jc w:val="center"/>
              <w:rPr>
                <w:rFonts w:ascii="宋体" w:hAnsi="宋体"/>
                <w:color w:val="000000"/>
                <w:sz w:val="20"/>
              </w:rPr>
            </w:pPr>
          </w:p>
        </w:tc>
        <w:tc>
          <w:tcPr>
            <w:tcW w:w="6937" w:type="dxa"/>
            <w:vAlign w:val="center"/>
          </w:tcPr>
          <w:p w:rsidR="00D9253F" w:rsidRDefault="00D9253F">
            <w:pPr>
              <w:adjustRightInd w:val="0"/>
              <w:snapToGrid w:val="0"/>
              <w:spacing w:line="360" w:lineRule="auto"/>
              <w:jc w:val="left"/>
              <w:rPr>
                <w:rFonts w:ascii="宋体" w:hAnsi="宋体"/>
                <w:color w:val="000000"/>
                <w:sz w:val="20"/>
              </w:rPr>
            </w:pPr>
            <w:r>
              <w:rPr>
                <w:rFonts w:ascii="宋体" w:hAnsi="宋体" w:hint="eastAsia"/>
                <w:color w:val="000000"/>
                <w:sz w:val="20"/>
              </w:rPr>
              <w:t>2.9投标人应提供应用软件，操作系统及数据库完善和稳定性升级。新增功能软件除外。对服务产品具有持续提供维修诊断、平台升级、软件更新的能力。</w:t>
            </w:r>
          </w:p>
        </w:tc>
      </w:tr>
    </w:tbl>
    <w:p w:rsidR="00D9253F" w:rsidRDefault="00D9253F">
      <w:pPr>
        <w:jc w:val="center"/>
        <w:rPr>
          <w:lang w:eastAsia="zh-Hans"/>
        </w:rPr>
      </w:pPr>
    </w:p>
    <w:p w:rsidR="00D9253F" w:rsidRDefault="00D9253F">
      <w:pPr>
        <w:jc w:val="center"/>
        <w:rPr>
          <w:lang w:eastAsia="zh-Hans"/>
        </w:rPr>
      </w:pPr>
      <w:r>
        <w:rPr>
          <w:rFonts w:hint="eastAsia"/>
        </w:rPr>
        <w:t>超声</w:t>
      </w:r>
      <w:r>
        <w:t>诊断仪</w:t>
      </w:r>
      <w:r w:rsidR="00751025">
        <w:rPr>
          <w:rFonts w:hint="eastAsia"/>
        </w:rPr>
        <w:t>维保</w:t>
      </w:r>
      <w:r>
        <w:rPr>
          <w:rFonts w:hint="eastAsia"/>
          <w:lang w:eastAsia="zh-Hans"/>
        </w:rPr>
        <w:t>技术要求</w:t>
      </w:r>
      <w:bookmarkStart w:id="0" w:name="_GoBack"/>
      <w:bookmarkEnd w:id="0"/>
    </w:p>
    <w:tbl>
      <w:tblPr>
        <w:tblW w:w="9960" w:type="dxa"/>
        <w:tblInd w:w="113" w:type="dxa"/>
        <w:tblLook w:val="04A0" w:firstRow="1" w:lastRow="0" w:firstColumn="1" w:lastColumn="0" w:noHBand="0" w:noVBand="1"/>
      </w:tblPr>
      <w:tblGrid>
        <w:gridCol w:w="2379"/>
        <w:gridCol w:w="3506"/>
        <w:gridCol w:w="4075"/>
      </w:tblGrid>
      <w:tr w:rsidR="00D9253F" w:rsidRPr="00D9253F" w:rsidTr="00D9253F">
        <w:trPr>
          <w:trHeight w:val="998"/>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40"/>
                <w:szCs w:val="40"/>
              </w:rPr>
            </w:pPr>
            <w:r w:rsidRPr="00D9253F">
              <w:rPr>
                <w:rFonts w:ascii="等线" w:eastAsia="等线" w:hAnsi="宋体" w:cs="宋体" w:hint="eastAsia"/>
                <w:b/>
                <w:bCs/>
                <w:color w:val="000000"/>
                <w:kern w:val="0"/>
                <w:sz w:val="40"/>
                <w:szCs w:val="40"/>
              </w:rPr>
              <w:lastRenderedPageBreak/>
              <w:t>超声设备明细表</w:t>
            </w:r>
          </w:p>
        </w:tc>
      </w:tr>
      <w:tr w:rsidR="00D9253F" w:rsidRPr="00D9253F" w:rsidTr="00D9253F">
        <w:trPr>
          <w:trHeight w:val="818"/>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36"/>
                <w:szCs w:val="36"/>
              </w:rPr>
            </w:pPr>
            <w:r w:rsidRPr="00D9253F">
              <w:rPr>
                <w:rFonts w:ascii="等线" w:eastAsia="等线" w:hAnsi="宋体" w:cs="宋体" w:hint="eastAsia"/>
                <w:b/>
                <w:bCs/>
                <w:color w:val="000000"/>
                <w:kern w:val="0"/>
                <w:sz w:val="36"/>
                <w:szCs w:val="36"/>
              </w:rPr>
              <w:t>序号</w:t>
            </w:r>
          </w:p>
        </w:tc>
        <w:tc>
          <w:tcPr>
            <w:tcW w:w="3506"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36"/>
                <w:szCs w:val="36"/>
              </w:rPr>
            </w:pPr>
            <w:r w:rsidRPr="00D9253F">
              <w:rPr>
                <w:rFonts w:ascii="等线" w:eastAsia="等线" w:hAnsi="宋体" w:cs="宋体" w:hint="eastAsia"/>
                <w:b/>
                <w:bCs/>
                <w:color w:val="000000"/>
                <w:kern w:val="0"/>
                <w:sz w:val="36"/>
                <w:szCs w:val="36"/>
              </w:rPr>
              <w:t>品牌</w:t>
            </w: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36"/>
                <w:szCs w:val="36"/>
              </w:rPr>
            </w:pPr>
            <w:r w:rsidRPr="00D9253F">
              <w:rPr>
                <w:rFonts w:ascii="等线" w:eastAsia="等线" w:hAnsi="宋体" w:cs="宋体" w:hint="eastAsia"/>
                <w:b/>
                <w:bCs/>
                <w:color w:val="000000"/>
                <w:kern w:val="0"/>
                <w:sz w:val="36"/>
                <w:szCs w:val="36"/>
              </w:rPr>
              <w:t>型号</w:t>
            </w:r>
          </w:p>
        </w:tc>
      </w:tr>
      <w:tr w:rsidR="00D9253F" w:rsidRPr="00D9253F" w:rsidTr="00D9253F">
        <w:trPr>
          <w:trHeight w:val="76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1</w:t>
            </w:r>
          </w:p>
        </w:tc>
        <w:tc>
          <w:tcPr>
            <w:tcW w:w="3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飞利浦</w:t>
            </w: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EPIQ 5</w:t>
            </w:r>
          </w:p>
        </w:tc>
      </w:tr>
      <w:tr w:rsidR="00D9253F" w:rsidRPr="00D9253F" w:rsidTr="00D9253F">
        <w:trPr>
          <w:trHeight w:val="72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2</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EPIQ 5</w:t>
            </w:r>
          </w:p>
        </w:tc>
      </w:tr>
      <w:tr w:rsidR="00D9253F" w:rsidRPr="00D9253F" w:rsidTr="00D9253F">
        <w:trPr>
          <w:trHeight w:val="70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3</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EPIQ 7C</w:t>
            </w:r>
          </w:p>
        </w:tc>
      </w:tr>
      <w:tr w:rsidR="00D9253F" w:rsidRPr="00D9253F" w:rsidTr="00D9253F">
        <w:trPr>
          <w:trHeight w:val="72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4</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A70</w:t>
            </w:r>
          </w:p>
        </w:tc>
      </w:tr>
      <w:tr w:rsidR="00D9253F" w:rsidRPr="00D9253F" w:rsidTr="00D9253F">
        <w:trPr>
          <w:trHeight w:val="803"/>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5</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A70</w:t>
            </w:r>
          </w:p>
        </w:tc>
      </w:tr>
      <w:tr w:rsidR="00D9253F" w:rsidRPr="00D9253F" w:rsidTr="00D9253F">
        <w:trPr>
          <w:trHeight w:val="803"/>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6</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A70</w:t>
            </w:r>
          </w:p>
        </w:tc>
      </w:tr>
      <w:tr w:rsidR="00D9253F" w:rsidRPr="00D9253F" w:rsidTr="00D9253F">
        <w:trPr>
          <w:trHeight w:val="803"/>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7</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A70</w:t>
            </w:r>
          </w:p>
        </w:tc>
      </w:tr>
      <w:tr w:rsidR="00D9253F" w:rsidRPr="00D9253F" w:rsidTr="00D9253F">
        <w:trPr>
          <w:trHeight w:val="803"/>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8</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EPIQ 7</w:t>
            </w:r>
          </w:p>
        </w:tc>
      </w:tr>
      <w:tr w:rsidR="00D9253F" w:rsidRPr="00D9253F" w:rsidTr="00D9253F">
        <w:trPr>
          <w:trHeight w:val="803"/>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9</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CX50</w:t>
            </w:r>
          </w:p>
        </w:tc>
      </w:tr>
      <w:tr w:rsidR="00D9253F" w:rsidRPr="00D9253F" w:rsidTr="00D9253F">
        <w:trPr>
          <w:trHeight w:val="803"/>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b/>
                <w:bCs/>
                <w:color w:val="000000"/>
                <w:kern w:val="0"/>
                <w:sz w:val="24"/>
                <w:szCs w:val="24"/>
              </w:rPr>
            </w:pPr>
            <w:r w:rsidRPr="00D9253F">
              <w:rPr>
                <w:rFonts w:ascii="等线" w:eastAsia="等线" w:hAnsi="宋体" w:cs="宋体" w:hint="eastAsia"/>
                <w:b/>
                <w:bCs/>
                <w:color w:val="000000"/>
                <w:kern w:val="0"/>
                <w:sz w:val="24"/>
                <w:szCs w:val="24"/>
              </w:rPr>
              <w:t>10</w:t>
            </w:r>
          </w:p>
        </w:tc>
        <w:tc>
          <w:tcPr>
            <w:tcW w:w="3506" w:type="dxa"/>
            <w:vMerge/>
            <w:tcBorders>
              <w:top w:val="nil"/>
              <w:left w:val="single" w:sz="4" w:space="0" w:color="auto"/>
              <w:bottom w:val="single" w:sz="4" w:space="0" w:color="auto"/>
              <w:right w:val="single" w:sz="4" w:space="0" w:color="auto"/>
            </w:tcBorders>
            <w:vAlign w:val="center"/>
            <w:hideMark/>
          </w:tcPr>
          <w:p w:rsidR="00D9253F" w:rsidRPr="00D9253F" w:rsidRDefault="00D9253F" w:rsidP="00D9253F">
            <w:pPr>
              <w:widowControl/>
              <w:jc w:val="left"/>
              <w:rPr>
                <w:rFonts w:ascii="等线" w:eastAsia="等线" w:hAnsi="宋体" w:cs="宋体"/>
                <w:color w:val="000000"/>
                <w:kern w:val="0"/>
                <w:sz w:val="36"/>
                <w:szCs w:val="36"/>
              </w:rPr>
            </w:pPr>
          </w:p>
        </w:tc>
        <w:tc>
          <w:tcPr>
            <w:tcW w:w="4075" w:type="dxa"/>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widowControl/>
              <w:jc w:val="center"/>
              <w:rPr>
                <w:rFonts w:ascii="等线" w:eastAsia="等线" w:hAnsi="宋体" w:cs="宋体"/>
                <w:color w:val="000000"/>
                <w:kern w:val="0"/>
                <w:sz w:val="36"/>
                <w:szCs w:val="36"/>
              </w:rPr>
            </w:pPr>
            <w:r w:rsidRPr="00D9253F">
              <w:rPr>
                <w:rFonts w:ascii="等线" w:eastAsia="等线" w:hAnsi="宋体" w:cs="宋体" w:hint="eastAsia"/>
                <w:color w:val="000000"/>
                <w:kern w:val="0"/>
                <w:sz w:val="36"/>
                <w:szCs w:val="36"/>
              </w:rPr>
              <w:t>EPIQ5</w:t>
            </w:r>
          </w:p>
        </w:tc>
      </w:tr>
    </w:tbl>
    <w:p w:rsidR="00E50F70" w:rsidRDefault="00E50F70">
      <w:pPr>
        <w:jc w:val="center"/>
        <w:rPr>
          <w:lang w:eastAsia="zh-Hans"/>
        </w:rPr>
      </w:pPr>
    </w:p>
    <w:sectPr w:rsidR="00E50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DRhNjkyODM0NmM3NzJkNmY4MmM1MDAzMDllMzAifQ=="/>
  </w:docVars>
  <w:rsids>
    <w:rsidRoot w:val="78BD7E95"/>
    <w:rsid w:val="00075FDB"/>
    <w:rsid w:val="00116CF2"/>
    <w:rsid w:val="00725BCF"/>
    <w:rsid w:val="00751025"/>
    <w:rsid w:val="009361CC"/>
    <w:rsid w:val="00A564DA"/>
    <w:rsid w:val="00D9253F"/>
    <w:rsid w:val="00E50F70"/>
    <w:rsid w:val="1DFC1503"/>
    <w:rsid w:val="1FBA579B"/>
    <w:rsid w:val="20C76754"/>
    <w:rsid w:val="304812FF"/>
    <w:rsid w:val="78BD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30770-858D-4E9D-A471-A70506D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04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139</Words>
  <Characters>798</Characters>
  <Application>Microsoft Office Word</Application>
  <DocSecurity>0</DocSecurity>
  <Lines>6</Lines>
  <Paragraphs>1</Paragraphs>
  <ScaleCrop>false</ScaleCrop>
  <Company>Organization</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WPS_1672896853</dc:creator>
  <cp:lastModifiedBy>Windows 用户</cp:lastModifiedBy>
  <cp:revision>6</cp:revision>
  <cp:lastPrinted>2023-06-06T06:20:00Z</cp:lastPrinted>
  <dcterms:created xsi:type="dcterms:W3CDTF">2023-06-05T18:42:00Z</dcterms:created>
  <dcterms:modified xsi:type="dcterms:W3CDTF">2023-07-20T07:10:00Z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99B0D75C37619A2B14BC7D64FB68E9DF_41</vt:lpwstr>
  </property>
</Properties>
</file>