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9B" w:rsidRDefault="00545EAC">
      <w:pPr>
        <w:widowControl/>
        <w:tabs>
          <w:tab w:val="left" w:pos="925"/>
          <w:tab w:val="left" w:pos="3799"/>
        </w:tabs>
        <w:autoSpaceDE/>
        <w:autoSpaceDN/>
        <w:spacing w:line="440" w:lineRule="exact"/>
        <w:ind w:leftChars="44" w:left="2478" w:hangingChars="539" w:hanging="2381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44"/>
          <w:szCs w:val="44"/>
          <w:lang w:eastAsia="zh-CN"/>
        </w:rPr>
        <w:t>全自动抗核抗体谱</w:t>
      </w: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  <w:lang w:eastAsia="zh-CN"/>
        </w:rPr>
        <w:t>化学发光免疫分析仪参数</w:t>
      </w:r>
    </w:p>
    <w:p w:rsidR="00AC3D9B" w:rsidRDefault="00AC3D9B">
      <w:pPr>
        <w:pStyle w:val="a3"/>
        <w:spacing w:before="0" w:line="400" w:lineRule="exact"/>
        <w:ind w:left="0" w:right="3763" w:firstLineChars="700" w:firstLine="1687"/>
        <w:rPr>
          <w:rFonts w:asciiTheme="minorEastAsia" w:eastAsiaTheme="minorEastAsia" w:hAnsiTheme="minorEastAsia" w:cs="Times New Roman"/>
          <w:b/>
          <w:sz w:val="24"/>
          <w:szCs w:val="24"/>
          <w:lang w:eastAsia="zh-CN"/>
        </w:rPr>
      </w:pPr>
    </w:p>
    <w:p w:rsidR="00AC3D9B" w:rsidRDefault="00545EAC">
      <w:pPr>
        <w:pStyle w:val="a3"/>
        <w:spacing w:before="2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（一）功能要求</w:t>
      </w:r>
    </w:p>
    <w:p w:rsidR="00AC3D9B" w:rsidRDefault="00545EAC">
      <w:pPr>
        <w:pStyle w:val="a3"/>
        <w:spacing w:line="252" w:lineRule="auto"/>
        <w:ind w:right="114" w:firstLine="42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主要用于对人体血清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/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血浆进行</w:t>
      </w:r>
      <w:r>
        <w:rPr>
          <w:rFonts w:ascii="Times New Roman" w:eastAsiaTheme="minorEastAsia" w:hAnsi="Times New Roman" w:cs="Times New Roman" w:hint="eastAsia"/>
          <w:spacing w:val="-4"/>
          <w:sz w:val="24"/>
          <w:szCs w:val="24"/>
          <w:lang w:eastAsia="zh-CN"/>
        </w:rPr>
        <w:t>自身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免疫项目的定性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/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zh-CN"/>
        </w:rPr>
        <w:t>定量分析，通过系统设定的正常值参数识别出健康人群，并识别出需进一步检测的患者及对疾病的诊断、鉴别诊断及治疗提供重要的实验室数据，检测项目包括自身抗体、心血管系统、感染性疾病、代谢检测等项目。</w:t>
      </w:r>
    </w:p>
    <w:p w:rsidR="00AC3D9B" w:rsidRDefault="00545EAC">
      <w:pPr>
        <w:pStyle w:val="a3"/>
        <w:spacing w:before="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（二）技术参数及要求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、检测原理：直接化学发光技术。</w:t>
      </w:r>
    </w:p>
    <w:p w:rsidR="00AC3D9B" w:rsidRDefault="00545EAC">
      <w:pPr>
        <w:pStyle w:val="1"/>
        <w:ind w:left="460" w:right="219" w:hanging="36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、自身免疫项目：需具备包含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抗核抗体谱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、磷脂综合征、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自免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肝、血管炎、类风湿关节炎相关测试项目。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且需提供</w:t>
      </w:r>
      <w:proofErr w:type="gramStart"/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如上项目</w:t>
      </w:r>
      <w:proofErr w:type="gramEnd"/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配套检测试剂。</w:t>
      </w:r>
    </w:p>
    <w:p w:rsidR="00AC3D9B" w:rsidRDefault="00545EAC">
      <w:pPr>
        <w:ind w:left="10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设备和试剂生产厂家最好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一致。</w:t>
      </w:r>
      <w:bookmarkStart w:id="0" w:name="_GoBack"/>
      <w:bookmarkEnd w:id="0"/>
    </w:p>
    <w:p w:rsidR="00AC3D9B" w:rsidRDefault="00545EAC">
      <w:pPr>
        <w:pStyle w:val="a3"/>
        <w:spacing w:before="7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、仪器后续可采用模块组合式设计，具有模块拓展可能。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、试剂位：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≥28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个，支持在线更换试剂。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、样本位：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≥130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个，支持原始管上机及随时加载。</w:t>
      </w:r>
    </w:p>
    <w:p w:rsidR="00AC3D9B" w:rsidRDefault="00545EAC">
      <w:pPr>
        <w:pStyle w:val="a3"/>
        <w:spacing w:before="2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、检测速度：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≥300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测试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小时。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、第一个出结果时间：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≤30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分钟。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、反应杯：可一次性装载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≥1900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个反应杯，可在线随机加杯，全程跟踪，具备反应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杯不足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报警提醒功能。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、急诊功能：具备急诊功能，急诊样本随时插入，优先处理。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、反应过程中能连续加载样本、试剂及耗品。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pacing w:val="1"/>
          <w:w w:val="99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1"/>
          <w:w w:val="99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/>
          <w:spacing w:val="-1"/>
          <w:w w:val="99"/>
          <w:sz w:val="24"/>
          <w:szCs w:val="24"/>
          <w:lang w:eastAsia="zh-CN"/>
        </w:rPr>
        <w:t>、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试剂系统：具备试剂冷藏装置（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2-8℃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），试剂可在机冷藏存储，具备试剂不足报警提醒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功能。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、加样系统：加样（样本添加和试剂添加）系统具备液面、气泡、空吸、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堵针检测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及防撞功能。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、测定的精确性好。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、混匀技术：非接触式混匀。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、交叉污染率：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≤5PPM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，保证结果精确性。</w:t>
      </w:r>
    </w:p>
    <w:p w:rsidR="00AC3D9B" w:rsidRDefault="00545EAC">
      <w:pPr>
        <w:pStyle w:val="a3"/>
        <w:spacing w:before="2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、操作系统：具备中文操作系统。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、通讯功能：可与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LIS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系统双向通讯。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19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、标准曲线稳定，稳定时间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≥28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天。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、设备可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24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小时待机。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、设备对仪器状态、测试状态、试剂耗材可进行实时监测。</w:t>
      </w:r>
    </w:p>
    <w:p w:rsidR="00AC3D9B" w:rsidRDefault="00545EA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、设备具有实时故障报警、反馈日志记录功能。</w:t>
      </w:r>
    </w:p>
    <w:p w:rsidR="00AC3D9B" w:rsidRDefault="00545EAC">
      <w:pPr>
        <w:spacing w:before="12"/>
        <w:ind w:left="10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、试剂盒内包含校准品，无需额外购买，且校准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品满足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溯源要求。</w:t>
      </w:r>
    </w:p>
    <w:p w:rsidR="00AC3D9B" w:rsidRDefault="00545EAC">
      <w:pPr>
        <w:pStyle w:val="a3"/>
        <w:spacing w:before="12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、由厂商及代理商提供双重售后服务及技术支援。</w:t>
      </w:r>
    </w:p>
    <w:sectPr w:rsidR="00AC3D9B">
      <w:pgSz w:w="11910" w:h="16840"/>
      <w:pgMar w:top="116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Calibri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ODliNDNhMTNhMWU2OGJlYjE1ZGJmMmZiZDA3MTkifQ=="/>
  </w:docVars>
  <w:rsids>
    <w:rsidRoot w:val="007C5E73"/>
    <w:rsid w:val="00006E22"/>
    <w:rsid w:val="00032A27"/>
    <w:rsid w:val="001923CF"/>
    <w:rsid w:val="001D3410"/>
    <w:rsid w:val="001E44F2"/>
    <w:rsid w:val="002925D3"/>
    <w:rsid w:val="0046388A"/>
    <w:rsid w:val="00545EAC"/>
    <w:rsid w:val="0055292F"/>
    <w:rsid w:val="005B7018"/>
    <w:rsid w:val="005E1D36"/>
    <w:rsid w:val="006069DE"/>
    <w:rsid w:val="00620F10"/>
    <w:rsid w:val="006F3896"/>
    <w:rsid w:val="007138D2"/>
    <w:rsid w:val="007C5E73"/>
    <w:rsid w:val="0092141C"/>
    <w:rsid w:val="00AC3D9B"/>
    <w:rsid w:val="00AE4B8D"/>
    <w:rsid w:val="00B1731D"/>
    <w:rsid w:val="00B40D13"/>
    <w:rsid w:val="00BA4516"/>
    <w:rsid w:val="00E3599F"/>
    <w:rsid w:val="00E607EA"/>
    <w:rsid w:val="00F2590D"/>
    <w:rsid w:val="00F65B90"/>
    <w:rsid w:val="392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C3C6"/>
  <w15:docId w15:val="{24F1A2C4-A03B-43F3-8CA5-D2A16F4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rFonts w:ascii="Noto Sans CJK JP Regular" w:eastAsia="Noto Sans CJK JP Regular" w:hAnsi="Noto Sans CJK JP Regular" w:cs="Noto Sans CJK JP Regular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Noto Sans CJK JP Regular" w:eastAsia="Noto Sans CJK JP Regular" w:hAnsi="Noto Sans CJK JP Regular" w:cs="Noto Sans CJK JP 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全自动化学发光分析仪招标条件</dc:title>
  <dc:creator>LF</dc:creator>
  <cp:lastModifiedBy>shebeichu 2</cp:lastModifiedBy>
  <cp:revision>3</cp:revision>
  <dcterms:created xsi:type="dcterms:W3CDTF">2023-02-21T07:59:00Z</dcterms:created>
  <dcterms:modified xsi:type="dcterms:W3CDTF">2023-02-21T08:04:00Z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2019-07-02T00:00:00Z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C35A31F6DB0B49C991CC42AE96F3EA65</vt:lpwstr>
  </property>
</Properties>
</file>