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B2" w:rsidRPr="00282C5B" w:rsidRDefault="00D34430" w:rsidP="00D849E3">
      <w:pPr>
        <w:jc w:val="center"/>
        <w:rPr>
          <w:b/>
          <w:bCs/>
          <w:sz w:val="32"/>
          <w:szCs w:val="32"/>
        </w:rPr>
      </w:pPr>
      <w:bookmarkStart w:id="0" w:name="_Toc22879"/>
      <w:bookmarkStart w:id="1" w:name="_Toc5305567"/>
      <w:bookmarkStart w:id="2" w:name="_Toc17388"/>
      <w:r w:rsidRPr="00D34430">
        <w:rPr>
          <w:rFonts w:hint="eastAsia"/>
          <w:b/>
          <w:bCs/>
          <w:sz w:val="32"/>
          <w:szCs w:val="32"/>
        </w:rPr>
        <w:t>疑难病诊治能力同质化智慧平台</w:t>
      </w:r>
      <w:r>
        <w:rPr>
          <w:rFonts w:hint="eastAsia"/>
          <w:b/>
          <w:bCs/>
          <w:sz w:val="32"/>
          <w:szCs w:val="32"/>
        </w:rPr>
        <w:t>风险评估和</w:t>
      </w:r>
      <w:r w:rsidR="005F7AB2" w:rsidRPr="00282C5B">
        <w:rPr>
          <w:rFonts w:hint="eastAsia"/>
          <w:b/>
          <w:bCs/>
          <w:sz w:val="32"/>
          <w:szCs w:val="32"/>
        </w:rPr>
        <w:t>等级保护测评</w:t>
      </w:r>
    </w:p>
    <w:p w:rsidR="00A20A2C" w:rsidRPr="00D949BA" w:rsidRDefault="00EC291A" w:rsidP="00D949BA">
      <w:pPr>
        <w:jc w:val="center"/>
        <w:rPr>
          <w:b/>
          <w:bCs/>
          <w:sz w:val="36"/>
          <w:szCs w:val="36"/>
        </w:rPr>
      </w:pPr>
      <w:r w:rsidRPr="00D949BA">
        <w:rPr>
          <w:rFonts w:hint="eastAsia"/>
          <w:b/>
          <w:bCs/>
          <w:sz w:val="36"/>
          <w:szCs w:val="36"/>
        </w:rPr>
        <w:t>技术需求书</w:t>
      </w:r>
      <w:bookmarkStart w:id="3" w:name="_Hlt42539152"/>
      <w:bookmarkStart w:id="4" w:name="_Hlt42540685"/>
      <w:bookmarkStart w:id="5" w:name="_Hlt42618675"/>
      <w:bookmarkEnd w:id="0"/>
      <w:bookmarkEnd w:id="1"/>
      <w:bookmarkEnd w:id="2"/>
      <w:bookmarkEnd w:id="3"/>
      <w:bookmarkEnd w:id="4"/>
      <w:bookmarkEnd w:id="5"/>
    </w:p>
    <w:p w:rsidR="00A20A2C" w:rsidRDefault="00EC291A" w:rsidP="00253F9F">
      <w:pPr>
        <w:pStyle w:val="2"/>
        <w:numPr>
          <w:ilvl w:val="0"/>
          <w:numId w:val="6"/>
        </w:numPr>
        <w:spacing w:before="0" w:after="0" w:line="360" w:lineRule="auto"/>
        <w:rPr>
          <w:color w:val="000000"/>
          <w:kern w:val="2"/>
          <w:sz w:val="28"/>
          <w:szCs w:val="28"/>
        </w:rPr>
      </w:pPr>
      <w:bookmarkStart w:id="6" w:name="_Toc446571463"/>
      <w:r>
        <w:rPr>
          <w:rFonts w:hint="eastAsia"/>
          <w:color w:val="000000"/>
          <w:kern w:val="2"/>
          <w:sz w:val="28"/>
          <w:szCs w:val="28"/>
        </w:rPr>
        <w:t>项目背景</w:t>
      </w:r>
      <w:bookmarkEnd w:id="6"/>
    </w:p>
    <w:p w:rsidR="00D34430" w:rsidRPr="00CE383A" w:rsidRDefault="00D34430" w:rsidP="0054629C">
      <w:pPr>
        <w:ind w:firstLine="360"/>
        <w:rPr>
          <w:rFonts w:ascii="宋体" w:hAnsi="宋体"/>
          <w:sz w:val="24"/>
          <w:szCs w:val="24"/>
        </w:rPr>
      </w:pPr>
      <w:r w:rsidRPr="00CE383A">
        <w:rPr>
          <w:rFonts w:ascii="宋体" w:hAnsi="宋体" w:hint="eastAsia"/>
          <w:sz w:val="24"/>
          <w:szCs w:val="24"/>
        </w:rPr>
        <w:t>中国医学科学院肿瘤医院（以下简称中心医院）与</w:t>
      </w:r>
      <w:r w:rsidR="00CE383A" w:rsidRPr="00CE383A">
        <w:rPr>
          <w:rFonts w:ascii="宋体" w:hAnsi="宋体" w:hint="eastAsia"/>
          <w:sz w:val="24"/>
          <w:szCs w:val="24"/>
        </w:rPr>
        <w:t>七</w:t>
      </w:r>
      <w:r w:rsidRPr="00CE383A">
        <w:rPr>
          <w:rFonts w:ascii="宋体" w:hAnsi="宋体" w:hint="eastAsia"/>
          <w:sz w:val="24"/>
          <w:szCs w:val="24"/>
        </w:rPr>
        <w:t>家医院存在管理关系或联盟关系。为深入贯彻落实《中共中央国务院关于促进创新发展的意见》有关任务，按照《区域医疗中心建设试点方案》的要求，推进能力建设，促进项目执行规范化、科学化，结合7家医院的实际情况，规划通过1—2 年努力，建成</w:t>
      </w:r>
      <w:r w:rsidR="004C38F9" w:rsidRPr="004C38F9">
        <w:rPr>
          <w:rFonts w:ascii="宋体" w:hAnsi="宋体" w:hint="eastAsia"/>
          <w:sz w:val="24"/>
          <w:szCs w:val="24"/>
        </w:rPr>
        <w:t>疑难病诊治能力同质化智慧平台</w:t>
      </w:r>
      <w:r w:rsidRPr="00CE383A">
        <w:rPr>
          <w:rFonts w:ascii="宋体" w:hAnsi="宋体" w:hint="eastAsia"/>
          <w:sz w:val="24"/>
          <w:szCs w:val="24"/>
        </w:rPr>
        <w:t>，打造以中心医院高水平肿瘤疾病医疗中心为依托的“互联网+医疗健康”协作平台，形成以中心医院为核心的肿瘤疾病专科联盟，大幅提升</w:t>
      </w:r>
      <w:r w:rsidR="00115289">
        <w:rPr>
          <w:rFonts w:ascii="宋体" w:hAnsi="宋体" w:hint="eastAsia"/>
          <w:sz w:val="24"/>
          <w:szCs w:val="24"/>
        </w:rPr>
        <w:t>各家</w:t>
      </w:r>
      <w:r w:rsidRPr="00CE383A">
        <w:rPr>
          <w:rFonts w:ascii="宋体" w:hAnsi="宋体" w:hint="eastAsia"/>
          <w:sz w:val="24"/>
          <w:szCs w:val="24"/>
        </w:rPr>
        <w:t>医院肿瘤疾病</w:t>
      </w:r>
      <w:r w:rsidR="00CE383A" w:rsidRPr="00CE383A">
        <w:rPr>
          <w:rFonts w:ascii="宋体" w:hAnsi="宋体" w:hint="eastAsia"/>
          <w:sz w:val="24"/>
          <w:szCs w:val="24"/>
        </w:rPr>
        <w:t>同质化</w:t>
      </w:r>
      <w:r w:rsidR="00CE383A">
        <w:rPr>
          <w:rFonts w:ascii="宋体" w:hAnsi="宋体" w:hint="eastAsia"/>
          <w:sz w:val="24"/>
          <w:szCs w:val="24"/>
        </w:rPr>
        <w:t>治疗水平</w:t>
      </w:r>
      <w:r w:rsidRPr="00CE383A">
        <w:rPr>
          <w:rFonts w:ascii="宋体" w:hAnsi="宋体" w:hint="eastAsia"/>
          <w:sz w:val="24"/>
          <w:szCs w:val="24"/>
        </w:rPr>
        <w:t>。</w:t>
      </w:r>
    </w:p>
    <w:p w:rsidR="00A20A2C" w:rsidRDefault="00EC291A" w:rsidP="00310A3C">
      <w:pPr>
        <w:pStyle w:val="2"/>
        <w:numPr>
          <w:ilvl w:val="0"/>
          <w:numId w:val="6"/>
        </w:numPr>
        <w:spacing w:before="0" w:after="0" w:line="360" w:lineRule="auto"/>
        <w:rPr>
          <w:color w:val="000000"/>
          <w:kern w:val="2"/>
          <w:sz w:val="28"/>
          <w:szCs w:val="28"/>
        </w:rPr>
      </w:pPr>
      <w:r>
        <w:rPr>
          <w:rFonts w:hint="eastAsia"/>
          <w:color w:val="000000"/>
          <w:kern w:val="2"/>
          <w:sz w:val="28"/>
          <w:szCs w:val="28"/>
        </w:rPr>
        <w:t>招标内容</w:t>
      </w:r>
    </w:p>
    <w:p w:rsidR="00A20A2C" w:rsidRDefault="00EC29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FD56FC">
        <w:rPr>
          <w:rFonts w:hint="eastAsia"/>
          <w:sz w:val="24"/>
          <w:szCs w:val="24"/>
        </w:rPr>
        <w:t>对</w:t>
      </w:r>
      <w:r w:rsidR="008E2C61" w:rsidRPr="008E2C61">
        <w:rPr>
          <w:rFonts w:hint="eastAsia"/>
          <w:sz w:val="24"/>
          <w:szCs w:val="24"/>
        </w:rPr>
        <w:t>疑难病诊治能力同质化智慧平台</w:t>
      </w:r>
      <w:r>
        <w:rPr>
          <w:rFonts w:hint="eastAsia"/>
          <w:sz w:val="24"/>
          <w:szCs w:val="24"/>
        </w:rPr>
        <w:t>（软硬件环境）开展系统风险评估、等级保护安全测评，在此基础上对该</w:t>
      </w:r>
      <w:r>
        <w:rPr>
          <w:sz w:val="24"/>
          <w:szCs w:val="24"/>
        </w:rPr>
        <w:t>系统</w:t>
      </w:r>
      <w:r>
        <w:rPr>
          <w:rFonts w:hint="eastAsia"/>
          <w:sz w:val="24"/>
          <w:szCs w:val="24"/>
        </w:rPr>
        <w:t>信息安全状况进行综合评述，出具年度信息安全报告。为达到本项目需达到的安全服务目的和水平，服务内容包括但不限于以下内容：</w:t>
      </w:r>
    </w:p>
    <w:p w:rsidR="00A20A2C" w:rsidRDefault="00A20A2C">
      <w:pPr>
        <w:pStyle w:val="10"/>
        <w:keepNext/>
        <w:keepLines/>
        <w:numPr>
          <w:ilvl w:val="0"/>
          <w:numId w:val="1"/>
        </w:numPr>
        <w:spacing w:before="280" w:after="290"/>
        <w:ind w:firstLineChars="0"/>
        <w:outlineLvl w:val="3"/>
        <w:rPr>
          <w:rFonts w:ascii="Cambria" w:hAnsi="Cambria"/>
          <w:b/>
          <w:bCs/>
          <w:vanish/>
          <w:sz w:val="24"/>
          <w:szCs w:val="24"/>
        </w:rPr>
      </w:pPr>
    </w:p>
    <w:p w:rsidR="00A20A2C" w:rsidRDefault="00A20A2C">
      <w:pPr>
        <w:pStyle w:val="10"/>
        <w:keepNext/>
        <w:keepLines/>
        <w:numPr>
          <w:ilvl w:val="1"/>
          <w:numId w:val="1"/>
        </w:numPr>
        <w:spacing w:before="280" w:after="290"/>
        <w:ind w:firstLineChars="0"/>
        <w:outlineLvl w:val="3"/>
        <w:rPr>
          <w:rFonts w:ascii="Cambria" w:hAnsi="Cambria"/>
          <w:b/>
          <w:bCs/>
          <w:vanish/>
          <w:sz w:val="24"/>
          <w:szCs w:val="24"/>
        </w:rPr>
      </w:pPr>
    </w:p>
    <w:p w:rsidR="00A20A2C" w:rsidRDefault="00A20A2C">
      <w:pPr>
        <w:pStyle w:val="10"/>
        <w:keepNext/>
        <w:keepLines/>
        <w:numPr>
          <w:ilvl w:val="1"/>
          <w:numId w:val="1"/>
        </w:numPr>
        <w:spacing w:before="280" w:after="290"/>
        <w:ind w:firstLineChars="0"/>
        <w:outlineLvl w:val="3"/>
        <w:rPr>
          <w:rFonts w:ascii="Cambria" w:hAnsi="Cambria"/>
          <w:b/>
          <w:bCs/>
          <w:vanish/>
          <w:sz w:val="24"/>
          <w:szCs w:val="24"/>
        </w:rPr>
      </w:pPr>
    </w:p>
    <w:p w:rsidR="00A20A2C" w:rsidRDefault="00A20A2C">
      <w:pPr>
        <w:pStyle w:val="10"/>
        <w:keepNext/>
        <w:keepLines/>
        <w:numPr>
          <w:ilvl w:val="2"/>
          <w:numId w:val="1"/>
        </w:numPr>
        <w:spacing w:before="280" w:after="290"/>
        <w:ind w:firstLineChars="0"/>
        <w:outlineLvl w:val="3"/>
        <w:rPr>
          <w:rFonts w:ascii="Cambria" w:hAnsi="Cambria"/>
          <w:b/>
          <w:bCs/>
          <w:vanish/>
          <w:sz w:val="24"/>
          <w:szCs w:val="24"/>
        </w:rPr>
      </w:pPr>
    </w:p>
    <w:p w:rsidR="00A20A2C" w:rsidRDefault="008E2C61">
      <w:pPr>
        <w:pStyle w:val="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EC291A">
        <w:rPr>
          <w:rFonts w:hint="eastAsia"/>
          <w:sz w:val="24"/>
          <w:szCs w:val="24"/>
        </w:rPr>
        <w:t>.1</w:t>
      </w:r>
      <w:r w:rsidR="00EC291A">
        <w:rPr>
          <w:rFonts w:hint="eastAsia"/>
          <w:sz w:val="24"/>
          <w:szCs w:val="24"/>
        </w:rPr>
        <w:t>系统风险评估</w:t>
      </w:r>
    </w:p>
    <w:p w:rsidR="00A20A2C" w:rsidRDefault="00EC291A">
      <w:pPr>
        <w:ind w:firstLineChars="200" w:firstLine="480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/>
          <w:sz w:val="24"/>
          <w:szCs w:val="24"/>
        </w:rPr>
        <w:t>开展全面、系统、深度的信息安全风险评估工作，采取非现场技术测试为主、现场验证为辅的工作方式，</w:t>
      </w:r>
      <w:r w:rsidR="008E2C61">
        <w:rPr>
          <w:rFonts w:ascii="宋体" w:hAnsi="宋体" w:hint="eastAsia"/>
          <w:sz w:val="24"/>
          <w:szCs w:val="24"/>
        </w:rPr>
        <w:t>以我院</w:t>
      </w:r>
      <w:r>
        <w:rPr>
          <w:rFonts w:ascii="宋体" w:hAnsi="宋体" w:hint="eastAsia"/>
          <w:sz w:val="24"/>
          <w:szCs w:val="24"/>
        </w:rPr>
        <w:t>相关安全规范为基础，梳理安全合规现状达标情况，</w:t>
      </w:r>
      <w:r>
        <w:rPr>
          <w:rFonts w:hint="eastAsia"/>
          <w:sz w:val="24"/>
          <w:szCs w:val="24"/>
        </w:rPr>
        <w:t>验证各层各类安全机制的有效性，</w:t>
      </w:r>
      <w:r>
        <w:rPr>
          <w:rFonts w:ascii="宋体" w:hAnsi="宋体" w:hint="eastAsia"/>
          <w:sz w:val="24"/>
          <w:szCs w:val="24"/>
        </w:rPr>
        <w:t>并在此基础上深度挖掘可能存在的安全漏洞和风险点，</w:t>
      </w:r>
      <w:r>
        <w:rPr>
          <w:rFonts w:hint="eastAsia"/>
          <w:sz w:val="24"/>
          <w:szCs w:val="24"/>
        </w:rPr>
        <w:t>综合评估信息安全风险，提出合理可行的安全整改建议，并进行整改复查和跟踪反馈，最终</w:t>
      </w:r>
      <w:r>
        <w:rPr>
          <w:rFonts w:ascii="宋体" w:hAnsi="宋体" w:hint="eastAsia"/>
          <w:sz w:val="24"/>
          <w:szCs w:val="24"/>
        </w:rPr>
        <w:t>出具年度风险评估报告</w:t>
      </w:r>
      <w:r>
        <w:rPr>
          <w:rFonts w:ascii="宋体" w:hAnsi="宋体" w:cs="宋体" w:hint="eastAsia"/>
          <w:sz w:val="24"/>
          <w:szCs w:val="24"/>
          <w:lang w:val="zh-CN"/>
        </w:rPr>
        <w:t>。</w:t>
      </w:r>
    </w:p>
    <w:p w:rsidR="00A20A2C" w:rsidRDefault="008E2C61">
      <w:pPr>
        <w:pStyle w:val="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EC291A">
        <w:rPr>
          <w:rFonts w:hint="eastAsia"/>
          <w:sz w:val="24"/>
          <w:szCs w:val="24"/>
        </w:rPr>
        <w:t xml:space="preserve">.2 </w:t>
      </w:r>
      <w:r>
        <w:rPr>
          <w:rFonts w:hint="eastAsia"/>
          <w:sz w:val="24"/>
          <w:szCs w:val="24"/>
        </w:rPr>
        <w:t>平台</w:t>
      </w:r>
      <w:r w:rsidR="00EC291A">
        <w:rPr>
          <w:rFonts w:hint="eastAsia"/>
          <w:sz w:val="24"/>
          <w:szCs w:val="24"/>
        </w:rPr>
        <w:t>等保</w:t>
      </w:r>
      <w:r w:rsidR="00310A3C">
        <w:rPr>
          <w:rFonts w:hint="eastAsia"/>
          <w:sz w:val="24"/>
          <w:szCs w:val="24"/>
        </w:rPr>
        <w:t>备案和</w:t>
      </w:r>
      <w:r w:rsidR="00EC291A">
        <w:rPr>
          <w:rFonts w:hint="eastAsia"/>
          <w:sz w:val="24"/>
          <w:szCs w:val="24"/>
        </w:rPr>
        <w:t>测评</w:t>
      </w:r>
    </w:p>
    <w:p w:rsidR="00A20A2C" w:rsidRDefault="00EC291A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依据《计算机信息系统安全保护等级划分准则》（GB17859-1999）、《信息系统安全等级保护基本要求》（GB/T 22239-2008）等国家标准，</w:t>
      </w:r>
      <w:r w:rsidR="008E2C61">
        <w:rPr>
          <w:rFonts w:ascii="宋体" w:hAnsi="宋体" w:hint="eastAsia"/>
          <w:color w:val="000000"/>
          <w:sz w:val="24"/>
          <w:szCs w:val="24"/>
        </w:rPr>
        <w:t>协助完成系统的等保三级备案和测评工作。</w:t>
      </w:r>
      <w:r>
        <w:rPr>
          <w:rFonts w:ascii="宋体" w:hAnsi="宋体" w:hint="eastAsia"/>
          <w:color w:val="000000"/>
          <w:sz w:val="24"/>
          <w:szCs w:val="24"/>
        </w:rPr>
        <w:t>通过实施等级保护测评，增加信</w:t>
      </w:r>
      <w:r w:rsidR="006A3C30">
        <w:rPr>
          <w:rFonts w:ascii="宋体" w:hAnsi="宋体" w:hint="eastAsia"/>
          <w:color w:val="000000"/>
          <w:sz w:val="24"/>
          <w:szCs w:val="24"/>
        </w:rPr>
        <w:t>息系统安全规范性和有效性，提高我</w:t>
      </w:r>
      <w:r w:rsidR="00F2410C">
        <w:rPr>
          <w:rFonts w:ascii="宋体" w:hAnsi="宋体" w:hint="eastAsia"/>
          <w:color w:val="000000"/>
          <w:sz w:val="24"/>
          <w:szCs w:val="24"/>
        </w:rPr>
        <w:t>单位</w:t>
      </w:r>
      <w:r>
        <w:rPr>
          <w:rFonts w:ascii="宋体" w:hAnsi="宋体" w:hint="eastAsia"/>
          <w:color w:val="000000"/>
          <w:sz w:val="24"/>
          <w:szCs w:val="24"/>
        </w:rPr>
        <w:t>人员安全意识，增强网络抗攻击能力，提高系统与相应等</w:t>
      </w:r>
      <w:r>
        <w:rPr>
          <w:rFonts w:ascii="宋体" w:hAnsi="宋体" w:hint="eastAsia"/>
          <w:color w:val="000000"/>
          <w:sz w:val="24"/>
          <w:szCs w:val="24"/>
        </w:rPr>
        <w:lastRenderedPageBreak/>
        <w:t>级化保护具体要求的符合程度，并出具等级保护测评报告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A20A2C" w:rsidRDefault="00EC291A" w:rsidP="00310A3C">
      <w:pPr>
        <w:pStyle w:val="2"/>
        <w:numPr>
          <w:ilvl w:val="0"/>
          <w:numId w:val="6"/>
        </w:numPr>
        <w:spacing w:before="0" w:after="0" w:line="360" w:lineRule="auto"/>
        <w:rPr>
          <w:color w:val="000000"/>
          <w:kern w:val="2"/>
          <w:sz w:val="28"/>
          <w:szCs w:val="28"/>
        </w:rPr>
      </w:pPr>
      <w:r>
        <w:rPr>
          <w:rFonts w:hint="eastAsia"/>
          <w:color w:val="000000"/>
          <w:kern w:val="2"/>
          <w:sz w:val="28"/>
          <w:szCs w:val="28"/>
        </w:rPr>
        <w:t>主要交付物</w:t>
      </w:r>
    </w:p>
    <w:p w:rsidR="00A20A2C" w:rsidRDefault="00EC29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根据工作内容要求，项目交付包括但不限于以下内容：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4544"/>
        <w:gridCol w:w="1570"/>
        <w:gridCol w:w="1570"/>
      </w:tblGrid>
      <w:tr w:rsidR="00490062" w:rsidTr="00490062">
        <w:trPr>
          <w:jc w:val="center"/>
        </w:trPr>
        <w:tc>
          <w:tcPr>
            <w:tcW w:w="492" w:type="pct"/>
            <w:vAlign w:val="center"/>
          </w:tcPr>
          <w:p w:rsidR="00490062" w:rsidRDefault="004900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66" w:type="pct"/>
            <w:vAlign w:val="center"/>
          </w:tcPr>
          <w:p w:rsidR="00490062" w:rsidRDefault="004900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交付物名称</w:t>
            </w:r>
          </w:p>
        </w:tc>
        <w:tc>
          <w:tcPr>
            <w:tcW w:w="921" w:type="pct"/>
            <w:vAlign w:val="center"/>
          </w:tcPr>
          <w:p w:rsidR="00490062" w:rsidRDefault="004900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形式</w:t>
            </w:r>
          </w:p>
        </w:tc>
        <w:tc>
          <w:tcPr>
            <w:tcW w:w="921" w:type="pct"/>
          </w:tcPr>
          <w:p w:rsidR="00490062" w:rsidRDefault="004900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数量</w:t>
            </w:r>
          </w:p>
        </w:tc>
      </w:tr>
      <w:tr w:rsidR="00490062" w:rsidTr="00490062">
        <w:trPr>
          <w:jc w:val="center"/>
        </w:trPr>
        <w:tc>
          <w:tcPr>
            <w:tcW w:w="492" w:type="pct"/>
            <w:vAlign w:val="center"/>
          </w:tcPr>
          <w:p w:rsidR="00490062" w:rsidRDefault="004900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66" w:type="pct"/>
            <w:vAlign w:val="center"/>
          </w:tcPr>
          <w:p w:rsidR="00490062" w:rsidRDefault="003F15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系统等级保护</w:t>
            </w:r>
            <w:r>
              <w:rPr>
                <w:rFonts w:hint="eastAsia"/>
                <w:sz w:val="24"/>
                <w:szCs w:val="24"/>
              </w:rPr>
              <w:t>测评</w:t>
            </w:r>
            <w:r w:rsidR="00490062">
              <w:rPr>
                <w:rFonts w:hint="eastAsia"/>
                <w:sz w:val="24"/>
                <w:szCs w:val="24"/>
              </w:rPr>
              <w:t>工作方案</w:t>
            </w:r>
          </w:p>
        </w:tc>
        <w:tc>
          <w:tcPr>
            <w:tcW w:w="921" w:type="pct"/>
            <w:vAlign w:val="center"/>
          </w:tcPr>
          <w:p w:rsidR="00490062" w:rsidRDefault="004900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</w:t>
            </w:r>
          </w:p>
        </w:tc>
        <w:tc>
          <w:tcPr>
            <w:tcW w:w="921" w:type="pct"/>
          </w:tcPr>
          <w:p w:rsidR="00490062" w:rsidRDefault="003F1529" w:rsidP="00987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F1529" w:rsidTr="00360B87">
        <w:trPr>
          <w:jc w:val="center"/>
        </w:trPr>
        <w:tc>
          <w:tcPr>
            <w:tcW w:w="492" w:type="pct"/>
            <w:vAlign w:val="center"/>
          </w:tcPr>
          <w:p w:rsidR="003F1529" w:rsidRDefault="003F1529" w:rsidP="00360B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66" w:type="pct"/>
            <w:vAlign w:val="center"/>
          </w:tcPr>
          <w:p w:rsidR="003F1529" w:rsidRDefault="003F1529" w:rsidP="00360B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系统等级保护测评</w:t>
            </w:r>
            <w:r>
              <w:rPr>
                <w:rFonts w:hint="eastAsia"/>
                <w:sz w:val="24"/>
                <w:szCs w:val="24"/>
              </w:rPr>
              <w:t>备案资料</w:t>
            </w:r>
          </w:p>
        </w:tc>
        <w:tc>
          <w:tcPr>
            <w:tcW w:w="921" w:type="pct"/>
            <w:vAlign w:val="center"/>
          </w:tcPr>
          <w:p w:rsidR="003F1529" w:rsidRDefault="003F1529" w:rsidP="00360B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电子、纸质</w:t>
            </w:r>
          </w:p>
        </w:tc>
        <w:tc>
          <w:tcPr>
            <w:tcW w:w="921" w:type="pct"/>
          </w:tcPr>
          <w:p w:rsidR="003F1529" w:rsidRDefault="003F1529" w:rsidP="00360B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490062" w:rsidTr="00490062">
        <w:trPr>
          <w:jc w:val="center"/>
        </w:trPr>
        <w:tc>
          <w:tcPr>
            <w:tcW w:w="492" w:type="pct"/>
            <w:vAlign w:val="center"/>
          </w:tcPr>
          <w:p w:rsidR="00490062" w:rsidRDefault="0020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66" w:type="pct"/>
            <w:vAlign w:val="center"/>
          </w:tcPr>
          <w:p w:rsidR="00490062" w:rsidRDefault="004900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系统等级保护测评报告</w:t>
            </w:r>
          </w:p>
        </w:tc>
        <w:tc>
          <w:tcPr>
            <w:tcW w:w="921" w:type="pct"/>
            <w:vAlign w:val="center"/>
          </w:tcPr>
          <w:p w:rsidR="00490062" w:rsidRDefault="004900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电子、纸质</w:t>
            </w:r>
          </w:p>
        </w:tc>
        <w:tc>
          <w:tcPr>
            <w:tcW w:w="921" w:type="pct"/>
          </w:tcPr>
          <w:p w:rsidR="00490062" w:rsidRDefault="00490062" w:rsidP="009874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490062" w:rsidTr="00490062">
        <w:trPr>
          <w:jc w:val="center"/>
        </w:trPr>
        <w:tc>
          <w:tcPr>
            <w:tcW w:w="492" w:type="pct"/>
            <w:vAlign w:val="center"/>
          </w:tcPr>
          <w:p w:rsidR="00490062" w:rsidRDefault="0020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66" w:type="pct"/>
            <w:vAlign w:val="center"/>
          </w:tcPr>
          <w:p w:rsidR="00490062" w:rsidRDefault="004900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系统风险评估工作方案</w:t>
            </w:r>
          </w:p>
        </w:tc>
        <w:tc>
          <w:tcPr>
            <w:tcW w:w="921" w:type="pct"/>
            <w:vAlign w:val="center"/>
          </w:tcPr>
          <w:p w:rsidR="00490062" w:rsidRDefault="004900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</w:t>
            </w:r>
          </w:p>
        </w:tc>
        <w:tc>
          <w:tcPr>
            <w:tcW w:w="921" w:type="pct"/>
          </w:tcPr>
          <w:p w:rsidR="00490062" w:rsidRDefault="003F1529" w:rsidP="00987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0062" w:rsidTr="00490062">
        <w:trPr>
          <w:jc w:val="center"/>
        </w:trPr>
        <w:tc>
          <w:tcPr>
            <w:tcW w:w="492" w:type="pct"/>
            <w:vAlign w:val="center"/>
          </w:tcPr>
          <w:p w:rsidR="00490062" w:rsidRDefault="0020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bookmarkStart w:id="7" w:name="_GoBack"/>
            <w:bookmarkEnd w:id="7"/>
          </w:p>
        </w:tc>
        <w:tc>
          <w:tcPr>
            <w:tcW w:w="2666" w:type="pct"/>
            <w:vAlign w:val="center"/>
          </w:tcPr>
          <w:p w:rsidR="00490062" w:rsidRDefault="004900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信息系统风险评估报告</w:t>
            </w:r>
          </w:p>
        </w:tc>
        <w:tc>
          <w:tcPr>
            <w:tcW w:w="921" w:type="pct"/>
            <w:vAlign w:val="center"/>
          </w:tcPr>
          <w:p w:rsidR="00490062" w:rsidRDefault="004900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电子、纸质</w:t>
            </w:r>
          </w:p>
        </w:tc>
        <w:tc>
          <w:tcPr>
            <w:tcW w:w="921" w:type="pct"/>
          </w:tcPr>
          <w:p w:rsidR="00490062" w:rsidRDefault="00490062" w:rsidP="009874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</w:tbl>
    <w:p w:rsidR="00D26C70" w:rsidRPr="00F90331" w:rsidRDefault="00D26C70" w:rsidP="00310A3C">
      <w:pPr>
        <w:pStyle w:val="2"/>
        <w:numPr>
          <w:ilvl w:val="0"/>
          <w:numId w:val="6"/>
        </w:numPr>
        <w:spacing w:before="0" w:after="0" w:line="360" w:lineRule="auto"/>
        <w:rPr>
          <w:color w:val="000000"/>
          <w:kern w:val="2"/>
          <w:sz w:val="28"/>
          <w:szCs w:val="28"/>
        </w:rPr>
      </w:pPr>
      <w:r w:rsidRPr="00F90331">
        <w:rPr>
          <w:rFonts w:hint="eastAsia"/>
          <w:color w:val="000000"/>
          <w:kern w:val="2"/>
          <w:sz w:val="28"/>
          <w:szCs w:val="28"/>
        </w:rPr>
        <w:t>资质要求</w:t>
      </w:r>
    </w:p>
    <w:p w:rsidR="00D26C70" w:rsidRDefault="00D26C70" w:rsidP="00D26C70">
      <w:pPr>
        <w:pStyle w:val="10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具备有效的国家网络安全等级保护工作协调小组办公室颁发的“网络安全等级保护测评机构推荐证书”。</w:t>
      </w:r>
    </w:p>
    <w:p w:rsidR="006D0220" w:rsidRDefault="006D0220" w:rsidP="00D26C70">
      <w:pPr>
        <w:pStyle w:val="10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具备有效的公安部三所颁发的“网络安全等级测评与检测评估机构服务认证证书”</w:t>
      </w:r>
    </w:p>
    <w:p w:rsidR="00D26C70" w:rsidRDefault="00D26C70" w:rsidP="00D26C70">
      <w:pPr>
        <w:pStyle w:val="10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至少有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个项目实施成员中拥有在有效期内的</w:t>
      </w:r>
      <w:r>
        <w:rPr>
          <w:rFonts w:hint="eastAsia"/>
          <w:sz w:val="24"/>
          <w:szCs w:val="24"/>
        </w:rPr>
        <w:t>CISP</w:t>
      </w:r>
      <w:r>
        <w:rPr>
          <w:rFonts w:hint="eastAsia"/>
          <w:sz w:val="24"/>
          <w:szCs w:val="24"/>
        </w:rPr>
        <w:t>证书。</w:t>
      </w:r>
    </w:p>
    <w:p w:rsidR="00D26C70" w:rsidRPr="00143D51" w:rsidRDefault="00D26C70" w:rsidP="00D26C70">
      <w:pPr>
        <w:pStyle w:val="10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具有国家密码管理局颁发的《商用密码应用安全性评估》证明。</w:t>
      </w:r>
    </w:p>
    <w:p w:rsidR="00D26C70" w:rsidRPr="00F90331" w:rsidRDefault="00D26C70" w:rsidP="00310A3C">
      <w:pPr>
        <w:pStyle w:val="2"/>
        <w:numPr>
          <w:ilvl w:val="0"/>
          <w:numId w:val="6"/>
        </w:numPr>
        <w:spacing w:before="0" w:after="0" w:line="360" w:lineRule="auto"/>
        <w:rPr>
          <w:color w:val="000000"/>
          <w:kern w:val="2"/>
          <w:sz w:val="28"/>
          <w:szCs w:val="28"/>
        </w:rPr>
      </w:pPr>
      <w:r w:rsidRPr="00F90331">
        <w:rPr>
          <w:rFonts w:hint="eastAsia"/>
          <w:color w:val="000000"/>
          <w:kern w:val="2"/>
          <w:sz w:val="28"/>
          <w:szCs w:val="28"/>
        </w:rPr>
        <w:t>服务承诺</w:t>
      </w:r>
    </w:p>
    <w:p w:rsidR="00D26C70" w:rsidRPr="00D232BA" w:rsidRDefault="00D26C70" w:rsidP="00D26C70">
      <w:pPr>
        <w:rPr>
          <w:sz w:val="24"/>
          <w:szCs w:val="24"/>
        </w:rPr>
      </w:pPr>
      <w:r w:rsidRPr="00D232BA">
        <w:rPr>
          <w:rFonts w:hint="eastAsia"/>
          <w:sz w:val="24"/>
          <w:szCs w:val="24"/>
        </w:rPr>
        <w:t>1</w:t>
      </w:r>
      <w:r w:rsidRPr="00D232BA">
        <w:rPr>
          <w:rFonts w:hint="eastAsia"/>
          <w:sz w:val="24"/>
          <w:szCs w:val="24"/>
        </w:rPr>
        <w:t>）在项目实施过程中，应充分尊重甲方需求，</w:t>
      </w:r>
      <w:r>
        <w:rPr>
          <w:rFonts w:hint="eastAsia"/>
          <w:sz w:val="24"/>
          <w:szCs w:val="24"/>
        </w:rPr>
        <w:t>采取最小影响原则和规范性原则开展工作</w:t>
      </w:r>
      <w:r w:rsidRPr="00D232BA">
        <w:rPr>
          <w:rFonts w:hint="eastAsia"/>
          <w:sz w:val="24"/>
          <w:szCs w:val="24"/>
        </w:rPr>
        <w:t>。</w:t>
      </w:r>
    </w:p>
    <w:p w:rsidR="00D26C70" w:rsidRDefault="00D26C70" w:rsidP="00D26C70">
      <w:pPr>
        <w:pStyle w:val="10"/>
        <w:ind w:firstLineChars="0" w:firstLine="0"/>
        <w:rPr>
          <w:sz w:val="24"/>
          <w:szCs w:val="24"/>
        </w:rPr>
      </w:pPr>
      <w:r w:rsidRPr="00B444C2">
        <w:rPr>
          <w:rFonts w:hint="eastAsia"/>
          <w:sz w:val="24"/>
          <w:szCs w:val="24"/>
        </w:rPr>
        <w:t>2</w:t>
      </w:r>
      <w:r w:rsidRPr="00B444C2">
        <w:rPr>
          <w:rFonts w:hint="eastAsia"/>
          <w:sz w:val="24"/>
          <w:szCs w:val="24"/>
        </w:rPr>
        <w:t>）</w:t>
      </w:r>
      <w:r w:rsidRPr="00B444C2">
        <w:rPr>
          <w:sz w:val="24"/>
          <w:szCs w:val="24"/>
        </w:rPr>
        <w:t>合同期内对发现的</w:t>
      </w:r>
      <w:r w:rsidRPr="00B444C2">
        <w:rPr>
          <w:rFonts w:hint="eastAsia"/>
          <w:sz w:val="24"/>
          <w:szCs w:val="24"/>
        </w:rPr>
        <w:t>各类</w:t>
      </w:r>
      <w:r w:rsidRPr="00B444C2">
        <w:rPr>
          <w:sz w:val="24"/>
          <w:szCs w:val="24"/>
        </w:rPr>
        <w:t>问题</w:t>
      </w:r>
      <w:r w:rsidRPr="00B444C2">
        <w:rPr>
          <w:rFonts w:hint="eastAsia"/>
          <w:sz w:val="24"/>
          <w:szCs w:val="24"/>
        </w:rPr>
        <w:t>能</w:t>
      </w:r>
      <w:r w:rsidRPr="00B444C2">
        <w:rPr>
          <w:sz w:val="24"/>
          <w:szCs w:val="24"/>
        </w:rPr>
        <w:t>免费进行整改和技术支持</w:t>
      </w:r>
      <w:r>
        <w:rPr>
          <w:rFonts w:hint="eastAsia"/>
          <w:sz w:val="24"/>
          <w:szCs w:val="24"/>
        </w:rPr>
        <w:t>。</w:t>
      </w:r>
    </w:p>
    <w:p w:rsidR="00D26C70" w:rsidRPr="0059268C" w:rsidRDefault="00D26C70" w:rsidP="00D26C70">
      <w:pPr>
        <w:pStyle w:val="10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）对过程数据和结果数据严格保密，未经授权不得泄露给任何单位和个人，不得利用此数据进行任何侵害买方的行为，否则买方有权追究</w:t>
      </w:r>
      <w:r w:rsidRPr="003C7617">
        <w:rPr>
          <w:rFonts w:hint="eastAsia"/>
          <w:sz w:val="24"/>
          <w:szCs w:val="24"/>
        </w:rPr>
        <w:t>乙方</w:t>
      </w:r>
      <w:r>
        <w:rPr>
          <w:rFonts w:hint="eastAsia"/>
          <w:sz w:val="24"/>
          <w:szCs w:val="24"/>
        </w:rPr>
        <w:t>的责任。买方有权要求</w:t>
      </w:r>
      <w:r w:rsidRPr="003C7617">
        <w:rPr>
          <w:rFonts w:hint="eastAsia"/>
          <w:sz w:val="24"/>
          <w:szCs w:val="24"/>
        </w:rPr>
        <w:t>乙方</w:t>
      </w:r>
      <w:r>
        <w:rPr>
          <w:rFonts w:hint="eastAsia"/>
          <w:sz w:val="24"/>
          <w:szCs w:val="24"/>
        </w:rPr>
        <w:t>在服务结束之后销毁所有和本项目有关的数据和文档</w:t>
      </w:r>
      <w:r>
        <w:rPr>
          <w:sz w:val="24"/>
          <w:szCs w:val="24"/>
        </w:rPr>
        <w:t>。</w:t>
      </w:r>
    </w:p>
    <w:p w:rsidR="00F90331" w:rsidRPr="00D26C70" w:rsidRDefault="00F90331" w:rsidP="00D26C70">
      <w:pPr>
        <w:pStyle w:val="2"/>
        <w:spacing w:before="0" w:after="0" w:line="360" w:lineRule="auto"/>
        <w:rPr>
          <w:sz w:val="24"/>
          <w:szCs w:val="24"/>
        </w:rPr>
      </w:pPr>
    </w:p>
    <w:sectPr w:rsidR="00F90331" w:rsidRPr="00D26C70" w:rsidSect="00B11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C57" w:rsidRDefault="00364C57" w:rsidP="00EF5DC5">
      <w:pPr>
        <w:spacing w:line="240" w:lineRule="auto"/>
      </w:pPr>
      <w:r>
        <w:separator/>
      </w:r>
    </w:p>
  </w:endnote>
  <w:endnote w:type="continuationSeparator" w:id="0">
    <w:p w:rsidR="00364C57" w:rsidRDefault="00364C57" w:rsidP="00EF5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C57" w:rsidRDefault="00364C57" w:rsidP="00EF5DC5">
      <w:pPr>
        <w:spacing w:line="240" w:lineRule="auto"/>
      </w:pPr>
      <w:r>
        <w:separator/>
      </w:r>
    </w:p>
  </w:footnote>
  <w:footnote w:type="continuationSeparator" w:id="0">
    <w:p w:rsidR="00364C57" w:rsidRDefault="00364C57" w:rsidP="00EF5D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421A"/>
    <w:multiLevelType w:val="multilevel"/>
    <w:tmpl w:val="007F421A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7725E47"/>
    <w:multiLevelType w:val="multilevel"/>
    <w:tmpl w:val="07725E47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8403C2B"/>
    <w:multiLevelType w:val="hybridMultilevel"/>
    <w:tmpl w:val="8B5018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A60E38"/>
    <w:multiLevelType w:val="hybridMultilevel"/>
    <w:tmpl w:val="DDC8D04E"/>
    <w:lvl w:ilvl="0" w:tplc="F0603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126E23"/>
    <w:multiLevelType w:val="multilevel"/>
    <w:tmpl w:val="60126E23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2.%2.%3"/>
      <w:lvlJc w:val="left"/>
      <w:pPr>
        <w:ind w:left="56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708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78646334"/>
    <w:multiLevelType w:val="multilevel"/>
    <w:tmpl w:val="78646334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071"/>
    <w:rsid w:val="000023FD"/>
    <w:rsid w:val="00016C95"/>
    <w:rsid w:val="0003393D"/>
    <w:rsid w:val="000A67DA"/>
    <w:rsid w:val="00115289"/>
    <w:rsid w:val="00122C97"/>
    <w:rsid w:val="00125518"/>
    <w:rsid w:val="0015643F"/>
    <w:rsid w:val="00174B96"/>
    <w:rsid w:val="001C15E6"/>
    <w:rsid w:val="0020547F"/>
    <w:rsid w:val="00226627"/>
    <w:rsid w:val="00253F9F"/>
    <w:rsid w:val="00275C3A"/>
    <w:rsid w:val="00282C5B"/>
    <w:rsid w:val="00286012"/>
    <w:rsid w:val="002E5B8E"/>
    <w:rsid w:val="00310A3C"/>
    <w:rsid w:val="003345E1"/>
    <w:rsid w:val="00351E72"/>
    <w:rsid w:val="00364C57"/>
    <w:rsid w:val="003F1529"/>
    <w:rsid w:val="004123C6"/>
    <w:rsid w:val="0043210E"/>
    <w:rsid w:val="004602F0"/>
    <w:rsid w:val="004664D6"/>
    <w:rsid w:val="00490062"/>
    <w:rsid w:val="00494ABC"/>
    <w:rsid w:val="004B2C63"/>
    <w:rsid w:val="004C38F9"/>
    <w:rsid w:val="004E027D"/>
    <w:rsid w:val="0054629C"/>
    <w:rsid w:val="0059268C"/>
    <w:rsid w:val="005F7AB2"/>
    <w:rsid w:val="006140BE"/>
    <w:rsid w:val="00646FFC"/>
    <w:rsid w:val="00660925"/>
    <w:rsid w:val="00676FC6"/>
    <w:rsid w:val="006A3C30"/>
    <w:rsid w:val="006B0D40"/>
    <w:rsid w:val="006B30C6"/>
    <w:rsid w:val="006C17DF"/>
    <w:rsid w:val="006D0220"/>
    <w:rsid w:val="007256E7"/>
    <w:rsid w:val="00773AAC"/>
    <w:rsid w:val="007D578E"/>
    <w:rsid w:val="007F201D"/>
    <w:rsid w:val="0083342C"/>
    <w:rsid w:val="00841800"/>
    <w:rsid w:val="008637FA"/>
    <w:rsid w:val="00874B70"/>
    <w:rsid w:val="00881BB3"/>
    <w:rsid w:val="008C6073"/>
    <w:rsid w:val="008D08CC"/>
    <w:rsid w:val="008E2C61"/>
    <w:rsid w:val="008F0ABF"/>
    <w:rsid w:val="00951133"/>
    <w:rsid w:val="00987471"/>
    <w:rsid w:val="00991891"/>
    <w:rsid w:val="00995E27"/>
    <w:rsid w:val="009E24C4"/>
    <w:rsid w:val="00A20A2C"/>
    <w:rsid w:val="00A562BB"/>
    <w:rsid w:val="00A8203C"/>
    <w:rsid w:val="00A967F5"/>
    <w:rsid w:val="00AA6787"/>
    <w:rsid w:val="00AB6A11"/>
    <w:rsid w:val="00B11E3E"/>
    <w:rsid w:val="00B1704B"/>
    <w:rsid w:val="00B444C2"/>
    <w:rsid w:val="00C45DEE"/>
    <w:rsid w:val="00C52646"/>
    <w:rsid w:val="00CA1590"/>
    <w:rsid w:val="00CE2338"/>
    <w:rsid w:val="00CE383A"/>
    <w:rsid w:val="00CE4078"/>
    <w:rsid w:val="00D232BA"/>
    <w:rsid w:val="00D26C70"/>
    <w:rsid w:val="00D34430"/>
    <w:rsid w:val="00D849E3"/>
    <w:rsid w:val="00D949BA"/>
    <w:rsid w:val="00DC693D"/>
    <w:rsid w:val="00DE3505"/>
    <w:rsid w:val="00DF3597"/>
    <w:rsid w:val="00E33504"/>
    <w:rsid w:val="00E84B6D"/>
    <w:rsid w:val="00EC291A"/>
    <w:rsid w:val="00EF5DC5"/>
    <w:rsid w:val="00F2410C"/>
    <w:rsid w:val="00F25071"/>
    <w:rsid w:val="00F25FEF"/>
    <w:rsid w:val="00F90331"/>
    <w:rsid w:val="00F9720D"/>
    <w:rsid w:val="00FD56FC"/>
    <w:rsid w:val="4148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E5054F-93B0-48CD-8B7A-728BAE7E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E3E"/>
    <w:pPr>
      <w:widowControl w:val="0"/>
      <w:spacing w:line="360" w:lineRule="auto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1"/>
    <w:qFormat/>
    <w:rsid w:val="00B11E3E"/>
    <w:pPr>
      <w:keepNext/>
      <w:keepLines/>
      <w:adjustRightInd w:val="0"/>
      <w:spacing w:before="240" w:after="240" w:line="578" w:lineRule="atLeast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1"/>
    <w:qFormat/>
    <w:rsid w:val="00B11E3E"/>
    <w:pPr>
      <w:spacing w:before="260" w:after="260" w:line="416" w:lineRule="atLeast"/>
      <w:outlineLvl w:val="1"/>
    </w:pPr>
    <w:rPr>
      <w:b/>
      <w:kern w:val="0"/>
      <w:sz w:val="30"/>
      <w:szCs w:val="20"/>
    </w:rPr>
  </w:style>
  <w:style w:type="paragraph" w:styleId="3">
    <w:name w:val="heading 3"/>
    <w:basedOn w:val="a"/>
    <w:next w:val="a"/>
    <w:link w:val="3Char1"/>
    <w:qFormat/>
    <w:rsid w:val="00B11E3E"/>
    <w:pPr>
      <w:tabs>
        <w:tab w:val="left" w:pos="588"/>
      </w:tabs>
      <w:ind w:left="186"/>
      <w:outlineLvl w:val="2"/>
    </w:pPr>
    <w:rPr>
      <w:snapToGrid w:val="0"/>
      <w:kern w:val="0"/>
      <w:sz w:val="28"/>
      <w:szCs w:val="20"/>
    </w:rPr>
  </w:style>
  <w:style w:type="paragraph" w:styleId="4">
    <w:name w:val="heading 4"/>
    <w:basedOn w:val="a"/>
    <w:next w:val="a"/>
    <w:link w:val="4Char1"/>
    <w:qFormat/>
    <w:rsid w:val="00B11E3E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/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B11E3E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B11E3E"/>
    <w:pPr>
      <w:spacing w:line="240" w:lineRule="auto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11E3E"/>
    <w:pPr>
      <w:spacing w:beforeAutospacing="1" w:afterAutospacing="1"/>
      <w:jc w:val="left"/>
    </w:pPr>
    <w:rPr>
      <w:kern w:val="0"/>
      <w:sz w:val="24"/>
    </w:rPr>
  </w:style>
  <w:style w:type="paragraph" w:styleId="a6">
    <w:name w:val="annotation subject"/>
    <w:basedOn w:val="a3"/>
    <w:next w:val="a3"/>
    <w:link w:val="Char1"/>
    <w:uiPriority w:val="99"/>
    <w:semiHidden/>
    <w:unhideWhenUsed/>
    <w:rsid w:val="00B11E3E"/>
    <w:rPr>
      <w:b/>
      <w:bCs/>
    </w:rPr>
  </w:style>
  <w:style w:type="character" w:styleId="a7">
    <w:name w:val="Strong"/>
    <w:basedOn w:val="a0"/>
    <w:uiPriority w:val="22"/>
    <w:qFormat/>
    <w:rsid w:val="00B11E3E"/>
    <w:rPr>
      <w:b/>
    </w:rPr>
  </w:style>
  <w:style w:type="character" w:styleId="a8">
    <w:name w:val="FollowedHyperlink"/>
    <w:basedOn w:val="a0"/>
    <w:uiPriority w:val="99"/>
    <w:semiHidden/>
    <w:unhideWhenUsed/>
    <w:rsid w:val="00B11E3E"/>
    <w:rPr>
      <w:color w:val="338DE6"/>
      <w:u w:val="none"/>
    </w:rPr>
  </w:style>
  <w:style w:type="character" w:styleId="a9">
    <w:name w:val="Emphasis"/>
    <w:basedOn w:val="a0"/>
    <w:uiPriority w:val="20"/>
    <w:qFormat/>
    <w:rsid w:val="00B11E3E"/>
  </w:style>
  <w:style w:type="character" w:styleId="HTML">
    <w:name w:val="HTML Definition"/>
    <w:basedOn w:val="a0"/>
    <w:uiPriority w:val="99"/>
    <w:semiHidden/>
    <w:unhideWhenUsed/>
    <w:rsid w:val="00B11E3E"/>
  </w:style>
  <w:style w:type="character" w:styleId="HTML0">
    <w:name w:val="HTML Variable"/>
    <w:basedOn w:val="a0"/>
    <w:uiPriority w:val="99"/>
    <w:semiHidden/>
    <w:unhideWhenUsed/>
    <w:rsid w:val="00B11E3E"/>
  </w:style>
  <w:style w:type="character" w:styleId="aa">
    <w:name w:val="Hyperlink"/>
    <w:basedOn w:val="a0"/>
    <w:uiPriority w:val="99"/>
    <w:semiHidden/>
    <w:unhideWhenUsed/>
    <w:rsid w:val="00B11E3E"/>
    <w:rPr>
      <w:color w:val="338DE6"/>
      <w:u w:val="none"/>
    </w:rPr>
  </w:style>
  <w:style w:type="character" w:styleId="HTML1">
    <w:name w:val="HTML Code"/>
    <w:basedOn w:val="a0"/>
    <w:uiPriority w:val="99"/>
    <w:semiHidden/>
    <w:unhideWhenUsed/>
    <w:rsid w:val="00B11E3E"/>
    <w:rPr>
      <w:rFonts w:ascii="serif" w:eastAsia="serif" w:hAnsi="serif" w:cs="serif" w:hint="default"/>
      <w:sz w:val="21"/>
      <w:szCs w:val="21"/>
    </w:rPr>
  </w:style>
  <w:style w:type="character" w:styleId="ab">
    <w:name w:val="annotation reference"/>
    <w:basedOn w:val="a0"/>
    <w:uiPriority w:val="99"/>
    <w:semiHidden/>
    <w:unhideWhenUsed/>
    <w:rsid w:val="00B11E3E"/>
    <w:rPr>
      <w:sz w:val="21"/>
      <w:szCs w:val="21"/>
    </w:rPr>
  </w:style>
  <w:style w:type="character" w:styleId="HTML2">
    <w:name w:val="HTML Cite"/>
    <w:basedOn w:val="a0"/>
    <w:uiPriority w:val="99"/>
    <w:semiHidden/>
    <w:unhideWhenUsed/>
    <w:rsid w:val="00B11E3E"/>
  </w:style>
  <w:style w:type="character" w:styleId="HTML3">
    <w:name w:val="HTML Keyboard"/>
    <w:basedOn w:val="a0"/>
    <w:uiPriority w:val="99"/>
    <w:semiHidden/>
    <w:unhideWhenUsed/>
    <w:rsid w:val="00B11E3E"/>
    <w:rPr>
      <w:rFonts w:ascii="serif" w:eastAsia="serif" w:hAnsi="serif" w:cs="serif"/>
      <w:sz w:val="21"/>
      <w:szCs w:val="21"/>
    </w:rPr>
  </w:style>
  <w:style w:type="character" w:styleId="HTML4">
    <w:name w:val="HTML Sample"/>
    <w:basedOn w:val="a0"/>
    <w:uiPriority w:val="99"/>
    <w:semiHidden/>
    <w:unhideWhenUsed/>
    <w:rsid w:val="00B11E3E"/>
    <w:rPr>
      <w:rFonts w:ascii="serif" w:eastAsia="serif" w:hAnsi="serif" w:cs="serif" w:hint="default"/>
      <w:sz w:val="21"/>
      <w:szCs w:val="21"/>
    </w:rPr>
  </w:style>
  <w:style w:type="character" w:customStyle="1" w:styleId="1Char">
    <w:name w:val="标题 1 Char"/>
    <w:basedOn w:val="a0"/>
    <w:uiPriority w:val="9"/>
    <w:qFormat/>
    <w:rsid w:val="00B11E3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B11E3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uiPriority w:val="9"/>
    <w:semiHidden/>
    <w:rsid w:val="00B11E3E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uiPriority w:val="9"/>
    <w:semiHidden/>
    <w:rsid w:val="00B11E3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1">
    <w:name w:val="标题 3 Char1"/>
    <w:link w:val="3"/>
    <w:qFormat/>
    <w:rsid w:val="00B11E3E"/>
    <w:rPr>
      <w:rFonts w:ascii="Times New Roman" w:eastAsia="宋体" w:hAnsi="Times New Roman" w:cs="Times New Roman"/>
      <w:snapToGrid w:val="0"/>
      <w:kern w:val="0"/>
      <w:sz w:val="28"/>
      <w:szCs w:val="20"/>
    </w:rPr>
  </w:style>
  <w:style w:type="character" w:customStyle="1" w:styleId="4Char1">
    <w:name w:val="标题 4 Char1"/>
    <w:link w:val="4"/>
    <w:qFormat/>
    <w:rsid w:val="00B11E3E"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1Char1">
    <w:name w:val="标题 1 Char1"/>
    <w:link w:val="1"/>
    <w:qFormat/>
    <w:rsid w:val="00B11E3E"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Char1">
    <w:name w:val="标题 2 Char1"/>
    <w:link w:val="2"/>
    <w:qFormat/>
    <w:rsid w:val="00B11E3E"/>
    <w:rPr>
      <w:rFonts w:ascii="Times New Roman" w:eastAsia="宋体" w:hAnsi="Times New Roman" w:cs="Times New Roman"/>
      <w:b/>
      <w:kern w:val="0"/>
      <w:sz w:val="30"/>
      <w:szCs w:val="20"/>
    </w:rPr>
  </w:style>
  <w:style w:type="paragraph" w:customStyle="1" w:styleId="10">
    <w:name w:val="列出段落1"/>
    <w:basedOn w:val="a"/>
    <w:uiPriority w:val="34"/>
    <w:qFormat/>
    <w:rsid w:val="00B11E3E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rsid w:val="00B11E3E"/>
    <w:rPr>
      <w:rFonts w:ascii="Times New Roman" w:eastAsia="宋体" w:hAnsi="Times New Roman" w:cs="Times New Roman"/>
      <w:szCs w:val="21"/>
    </w:rPr>
  </w:style>
  <w:style w:type="character" w:customStyle="1" w:styleId="Char1">
    <w:name w:val="批注主题 Char"/>
    <w:basedOn w:val="Char"/>
    <w:link w:val="a6"/>
    <w:uiPriority w:val="99"/>
    <w:semiHidden/>
    <w:qFormat/>
    <w:rsid w:val="00B11E3E"/>
    <w:rPr>
      <w:rFonts w:ascii="Times New Roman" w:eastAsia="宋体" w:hAnsi="Times New Roman" w:cs="Times New Roman"/>
      <w:b/>
      <w:bCs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B11E3E"/>
    <w:rPr>
      <w:rFonts w:ascii="Times New Roman" w:eastAsia="宋体" w:hAnsi="Times New Roman" w:cs="Times New Roman"/>
      <w:sz w:val="18"/>
      <w:szCs w:val="18"/>
    </w:rPr>
  </w:style>
  <w:style w:type="character" w:customStyle="1" w:styleId="fontstrikethrough">
    <w:name w:val="fontstrikethrough"/>
    <w:basedOn w:val="a0"/>
    <w:rsid w:val="00B11E3E"/>
    <w:rPr>
      <w:strike/>
    </w:rPr>
  </w:style>
  <w:style w:type="character" w:customStyle="1" w:styleId="fontborder">
    <w:name w:val="fontborder"/>
    <w:basedOn w:val="a0"/>
    <w:rsid w:val="00B11E3E"/>
    <w:rPr>
      <w:bdr w:val="single" w:sz="4" w:space="0" w:color="000000"/>
    </w:rPr>
  </w:style>
  <w:style w:type="paragraph" w:styleId="ac">
    <w:name w:val="header"/>
    <w:basedOn w:val="a"/>
    <w:link w:val="Char2"/>
    <w:uiPriority w:val="99"/>
    <w:unhideWhenUsed/>
    <w:rsid w:val="00EF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c"/>
    <w:uiPriority w:val="99"/>
    <w:rsid w:val="00EF5DC5"/>
    <w:rPr>
      <w:kern w:val="2"/>
      <w:sz w:val="18"/>
      <w:szCs w:val="18"/>
    </w:rPr>
  </w:style>
  <w:style w:type="paragraph" w:styleId="ad">
    <w:name w:val="footer"/>
    <w:basedOn w:val="a"/>
    <w:link w:val="Char3"/>
    <w:uiPriority w:val="99"/>
    <w:unhideWhenUsed/>
    <w:rsid w:val="00EF5DC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d"/>
    <w:uiPriority w:val="99"/>
    <w:rsid w:val="00EF5DC5"/>
    <w:rPr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F90331"/>
    <w:pPr>
      <w:spacing w:line="240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11B96D-B104-4E0D-A463-91BE6A56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admin</cp:lastModifiedBy>
  <cp:revision>16</cp:revision>
  <dcterms:created xsi:type="dcterms:W3CDTF">2021-09-13T00:33:00Z</dcterms:created>
  <dcterms:modified xsi:type="dcterms:W3CDTF">2022-10-10T01:12:00Z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