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A7" w:rsidRDefault="005D30EA">
      <w:pPr>
        <w:spacing w:line="400" w:lineRule="exac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通风柜和样本浓缩仪及附属设备</w:t>
      </w:r>
    </w:p>
    <w:p w:rsidR="00D15EA7" w:rsidRDefault="00D15EA7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:rsidR="00D15EA7" w:rsidRDefault="005D30EA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一、通风柜</w:t>
      </w:r>
      <w:r>
        <w:rPr>
          <w:rFonts w:ascii="Times New Roman" w:eastAsia="宋体" w:hAnsi="Times New Roman" w:cs="Times New Roman" w:hint="eastAsia"/>
          <w:szCs w:val="21"/>
        </w:rPr>
        <w:t xml:space="preserve">  4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# </w:t>
      </w:r>
      <w:r>
        <w:rPr>
          <w:rFonts w:ascii="Times New Roman" w:eastAsia="宋体" w:hAnsi="Times New Roman" w:cs="Times New Roman"/>
          <w:szCs w:val="21"/>
        </w:rPr>
        <w:t>工作尺寸宽度</w:t>
      </w:r>
      <w:r>
        <w:rPr>
          <w:rFonts w:ascii="Times New Roman" w:eastAsia="宋体" w:hAnsi="Times New Roman" w:cs="Times New Roman"/>
          <w:szCs w:val="21"/>
        </w:rPr>
        <w:t>≥1.8m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通风柜通过</w:t>
      </w:r>
      <w:r>
        <w:rPr>
          <w:rFonts w:ascii="Times New Roman" w:eastAsia="宋体" w:hAnsi="Times New Roman" w:cs="Times New Roman"/>
          <w:szCs w:val="21"/>
        </w:rPr>
        <w:t>ASHRE 110</w:t>
      </w:r>
      <w:r>
        <w:rPr>
          <w:rFonts w:ascii="Times New Roman" w:eastAsia="宋体" w:hAnsi="Times New Roman" w:cs="Times New Roman"/>
          <w:szCs w:val="21"/>
        </w:rPr>
        <w:t>及</w:t>
      </w:r>
      <w:r>
        <w:rPr>
          <w:rFonts w:ascii="Times New Roman" w:eastAsia="宋体" w:hAnsi="Times New Roman" w:cs="Times New Roman"/>
          <w:szCs w:val="21"/>
        </w:rPr>
        <w:t>EN 14175</w:t>
      </w:r>
      <w:r>
        <w:rPr>
          <w:rFonts w:ascii="Times New Roman" w:eastAsia="宋体" w:hAnsi="Times New Roman" w:cs="Times New Roman"/>
          <w:szCs w:val="21"/>
        </w:rPr>
        <w:t>测试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主体结构：双层全钢，自支撑坚固构造。外层为钢板，内层为抗腐蚀内衬材料。两层之间为全钢框架、全钢固定件和公用设备管道、配件等。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通风柜工作台面：一体成型碟形环氧树脂台面。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通风柜配有一次性成型实验室专用</w:t>
      </w:r>
      <w:r>
        <w:rPr>
          <w:rFonts w:ascii="Times New Roman" w:eastAsia="宋体" w:hAnsi="Times New Roman" w:cs="Times New Roman"/>
          <w:szCs w:val="21"/>
        </w:rPr>
        <w:t>PP</w:t>
      </w:r>
      <w:r>
        <w:rPr>
          <w:rFonts w:ascii="Times New Roman" w:eastAsia="宋体" w:hAnsi="Times New Roman" w:cs="Times New Roman"/>
          <w:szCs w:val="21"/>
        </w:rPr>
        <w:t>水槽，耐酸碱、耐腐蚀。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移门：使用厚度</w:t>
      </w:r>
      <w:r>
        <w:rPr>
          <w:rFonts w:ascii="Times New Roman" w:eastAsia="宋体" w:hAnsi="Times New Roman" w:cs="Times New Roman"/>
          <w:szCs w:val="21"/>
        </w:rPr>
        <w:t xml:space="preserve">≥6mm </w:t>
      </w:r>
      <w:r>
        <w:rPr>
          <w:rFonts w:ascii="Times New Roman" w:eastAsia="宋体" w:hAnsi="Times New Roman" w:cs="Times New Roman"/>
          <w:szCs w:val="21"/>
        </w:rPr>
        <w:t>的双层夹膜防爆浮法安全玻璃；滑轨为抗腐蚀</w:t>
      </w:r>
      <w:r>
        <w:rPr>
          <w:rFonts w:ascii="Times New Roman" w:eastAsia="宋体" w:hAnsi="Times New Roman" w:cs="Times New Roman"/>
          <w:szCs w:val="21"/>
        </w:rPr>
        <w:t>PVC</w:t>
      </w:r>
      <w:r>
        <w:rPr>
          <w:rFonts w:ascii="Times New Roman" w:eastAsia="宋体" w:hAnsi="Times New Roman" w:cs="Times New Roman"/>
          <w:szCs w:val="21"/>
        </w:rPr>
        <w:t>材质，移门能够轻松上下移动；移门的关、闭有橡胶缓冲装置；密封条为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Times New Roman" w:eastAsia="宋体" w:hAnsi="Times New Roman" w:cs="Times New Roman"/>
          <w:szCs w:val="21"/>
        </w:rPr>
        <w:t>硬度</w:t>
      </w:r>
      <w:r>
        <w:rPr>
          <w:rFonts w:ascii="Times New Roman" w:eastAsia="宋体" w:hAnsi="Times New Roman" w:cs="Times New Roman"/>
          <w:szCs w:val="21"/>
        </w:rPr>
        <w:t xml:space="preserve"> PVC</w:t>
      </w:r>
      <w:r>
        <w:rPr>
          <w:rFonts w:ascii="Times New Roman" w:eastAsia="宋体" w:hAnsi="Times New Roman" w:cs="Times New Roman"/>
          <w:szCs w:val="21"/>
        </w:rPr>
        <w:t>，防止气体泄露，并能阻挡液体流出柜体；移门拉手和移门同宽，材质可以是不锈钢或环氧树脂漆喷涂金属材料制成。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所有通风柜的内衬材料为</w:t>
      </w:r>
      <w:r>
        <w:rPr>
          <w:rFonts w:ascii="Times New Roman" w:eastAsia="宋体" w:hAnsi="Times New Roman" w:cs="Times New Roman"/>
          <w:szCs w:val="21"/>
        </w:rPr>
        <w:t>≥6mm</w:t>
      </w:r>
      <w:r>
        <w:rPr>
          <w:rFonts w:ascii="Times New Roman" w:eastAsia="宋体" w:hAnsi="Times New Roman" w:cs="Times New Roman"/>
          <w:szCs w:val="21"/>
        </w:rPr>
        <w:t>厚高分子材料。导流板必须与内衬为同一材料，引导通风柜气体排除柜外。内衬材料表面光滑。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底柜柜体：每个柜体均为完整独立的落地型全钢制柜体设计，每台通风柜配置两只双开门款式底柜单元，或一只拥有两个独立区隔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各区隔配置双开门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的四</w:t>
      </w:r>
      <w:r>
        <w:rPr>
          <w:rFonts w:ascii="Times New Roman" w:eastAsia="宋体" w:hAnsi="Times New Roman" w:cs="Times New Roman"/>
          <w:szCs w:val="21"/>
        </w:rPr>
        <w:t>门柜体单元。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远程控制手柄：尼龙十字型把手，由不同颜色的尼龙指示钮标识。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通风柜照明：两个荧光灯管，快速启动类型。镇流器安装在通风柜外部。照明装置上面有安全玻璃面板并且和柜体密封。平均照度</w:t>
      </w:r>
      <w:r>
        <w:rPr>
          <w:rFonts w:ascii="Times New Roman" w:eastAsia="宋体" w:hAnsi="Times New Roman" w:cs="Times New Roman"/>
          <w:szCs w:val="21"/>
        </w:rPr>
        <w:t>≥800Lx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电气设施安装在通风柜的外侧立柱上。带开关型插座，同时立柱上安装有漏电保护装置。通风柜外侧立柱上安装有灯开关，灯电源取至主回路下装有熔断保护的支路。插座：不少于</w:t>
      </w:r>
      <w:r>
        <w:rPr>
          <w:rFonts w:ascii="Times New Roman" w:eastAsia="宋体" w:hAnsi="Times New Roman" w:cs="Times New Roman"/>
          <w:szCs w:val="21"/>
        </w:rPr>
        <w:t xml:space="preserve"> 4 </w:t>
      </w:r>
      <w:r>
        <w:rPr>
          <w:rFonts w:ascii="Times New Roman" w:eastAsia="宋体" w:hAnsi="Times New Roman" w:cs="Times New Roman"/>
          <w:szCs w:val="21"/>
        </w:rPr>
        <w:t>个多功能插座。三线接地插座，</w:t>
      </w:r>
      <w:r>
        <w:rPr>
          <w:rFonts w:ascii="Times New Roman" w:eastAsia="宋体" w:hAnsi="Times New Roman" w:cs="Times New Roman"/>
          <w:szCs w:val="21"/>
        </w:rPr>
        <w:t>220V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≥16A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下降式旁通设计：低阻，</w:t>
      </w:r>
      <w:r>
        <w:rPr>
          <w:rFonts w:ascii="Times New Roman" w:eastAsia="宋体" w:hAnsi="Times New Roman" w:cs="Times New Roman"/>
          <w:szCs w:val="21"/>
        </w:rPr>
        <w:t>1.25mm</w:t>
      </w:r>
      <w:r>
        <w:rPr>
          <w:rFonts w:ascii="Times New Roman" w:eastAsia="宋体" w:hAnsi="Times New Roman" w:cs="Times New Roman"/>
          <w:szCs w:val="21"/>
        </w:rPr>
        <w:t>钢板进风腔体。进风从腔体上方进入，然后进入通风柜内。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外部连</w:t>
      </w:r>
      <w:r>
        <w:rPr>
          <w:rFonts w:ascii="Times New Roman" w:eastAsia="宋体" w:hAnsi="Times New Roman" w:cs="Times New Roman"/>
          <w:szCs w:val="21"/>
        </w:rPr>
        <w:t>接装置抗化学腐蚀，非金属材料。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具有自动下降功能：设置有安全高度限位开关；而当移门高于限位操作高度时，会自动下降到这一高度，维持设计表面风速和排风风量。有限位器限制玻璃移门，便于安装、拆卸大型设备。通风柜设置补风装置，并能完全关闭。</w:t>
      </w:r>
    </w:p>
    <w:p w:rsidR="00D15EA7" w:rsidRDefault="005D30EA">
      <w:pPr>
        <w:pStyle w:val="ZW"/>
        <w:numPr>
          <w:ilvl w:val="0"/>
          <w:numId w:val="1"/>
        </w:numPr>
        <w:tabs>
          <w:tab w:val="left" w:pos="480"/>
        </w:tabs>
        <w:spacing w:line="400" w:lineRule="exact"/>
        <w:ind w:left="480" w:firstLineChars="0" w:hanging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排风口为矩形底部带圆弧设计，</w:t>
      </w:r>
      <w:r>
        <w:rPr>
          <w:rFonts w:ascii="Times New Roman" w:eastAsia="宋体" w:hAnsi="Times New Roman" w:cs="Times New Roman"/>
          <w:szCs w:val="21"/>
        </w:rPr>
        <w:t>1.2mm</w:t>
      </w:r>
      <w:r>
        <w:rPr>
          <w:rFonts w:ascii="Times New Roman" w:eastAsia="宋体" w:hAnsi="Times New Roman" w:cs="Times New Roman"/>
          <w:szCs w:val="21"/>
        </w:rPr>
        <w:t>冷轧钢板环氧树脂漆喷涂；移门采用全钢驱动型链条齿轮带自锁系统。后惰轮齿轮为双层密封滚珠轴承型，所有材质防腐处理。移门导向装置由抗腐蚀的聚氯乙稀或相近材质构成。</w:t>
      </w:r>
    </w:p>
    <w:p w:rsidR="00D15EA7" w:rsidRDefault="00D15EA7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:rsidR="00D15EA7" w:rsidRDefault="005D30EA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二、真空离心浓缩仪</w:t>
      </w:r>
      <w:r>
        <w:rPr>
          <w:rFonts w:ascii="Times New Roman" w:eastAsia="宋体" w:hAnsi="Times New Roman" w:cs="Times New Roman" w:hint="eastAsia"/>
          <w:szCs w:val="21"/>
        </w:rPr>
        <w:t xml:space="preserve">  1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 xml:space="preserve"># </w:t>
      </w:r>
      <w:r>
        <w:rPr>
          <w:rFonts w:ascii="Times New Roman" w:eastAsia="宋体" w:hAnsi="Times New Roman" w:cs="Times New Roman"/>
          <w:szCs w:val="21"/>
        </w:rPr>
        <w:t>新型红外线加热盖：通过使用红外线加热，以及腔体</w:t>
      </w:r>
      <w:r>
        <w:rPr>
          <w:rFonts w:ascii="Times New Roman" w:eastAsia="宋体" w:hAnsi="Times New Roman" w:cs="Times New Roman"/>
          <w:szCs w:val="21"/>
        </w:rPr>
        <w:t>保持真空，样品在短时间内会被有效的浓缩。特殊玻璃可以耐受化学腐蚀。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直流无刷马达：电机几乎没有任何噪音，启动平稳。免维护设计。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无交叉污染，无样品损失：因为真空孔被设计在中心轴的顶端，可以将污染和样品损失降低到最小。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转子选择范围广：几微升一直到</w:t>
      </w:r>
      <w:r>
        <w:rPr>
          <w:rFonts w:ascii="Times New Roman" w:eastAsia="宋体" w:hAnsi="Times New Roman" w:cs="Times New Roman"/>
          <w:szCs w:val="21"/>
        </w:rPr>
        <w:t xml:space="preserve">50ml </w:t>
      </w:r>
      <w:r>
        <w:rPr>
          <w:rFonts w:ascii="Times New Roman" w:eastAsia="宋体" w:hAnsi="Times New Roman" w:cs="Times New Roman"/>
          <w:szCs w:val="21"/>
        </w:rPr>
        <w:t>的离心管可以选择，水平转子可以同时放置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/>
          <w:szCs w:val="21"/>
        </w:rPr>
        <w:t>个</w:t>
      </w:r>
      <w:r>
        <w:rPr>
          <w:rFonts w:ascii="Times New Roman" w:eastAsia="宋体" w:hAnsi="Times New Roman" w:cs="Times New Roman"/>
          <w:szCs w:val="21"/>
        </w:rPr>
        <w:t xml:space="preserve">96 </w:t>
      </w:r>
      <w:r>
        <w:rPr>
          <w:rFonts w:ascii="Times New Roman" w:eastAsia="宋体" w:hAnsi="Times New Roman" w:cs="Times New Roman"/>
          <w:szCs w:val="21"/>
        </w:rPr>
        <w:t>孔板。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结构紧凑，台式设计：内置的化学隔膜泵设计，节省实验室空间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显示方式：</w:t>
      </w:r>
      <w:r>
        <w:rPr>
          <w:rFonts w:ascii="Times New Roman" w:eastAsia="宋体" w:hAnsi="Times New Roman" w:cs="Times New Roman"/>
          <w:szCs w:val="21"/>
        </w:rPr>
        <w:t>LED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操作面板：触摸按键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温度范围：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-80℃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# </w:t>
      </w:r>
      <w:r>
        <w:rPr>
          <w:rFonts w:ascii="Times New Roman" w:eastAsia="宋体" w:hAnsi="Times New Roman" w:cs="Times New Roman"/>
          <w:szCs w:val="21"/>
        </w:rPr>
        <w:t>温度精度：土</w:t>
      </w:r>
      <w:r>
        <w:rPr>
          <w:rFonts w:ascii="Times New Roman" w:eastAsia="宋体" w:hAnsi="Times New Roman" w:cs="Times New Roman"/>
          <w:szCs w:val="21"/>
        </w:rPr>
        <w:t>0.1℃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温度控制方式：</w:t>
      </w:r>
      <w:r>
        <w:rPr>
          <w:rFonts w:ascii="Times New Roman" w:eastAsia="宋体" w:hAnsi="Times New Roman" w:cs="Times New Roman"/>
          <w:szCs w:val="21"/>
        </w:rPr>
        <w:t xml:space="preserve">PID </w:t>
      </w:r>
      <w:r>
        <w:rPr>
          <w:rFonts w:ascii="Times New Roman" w:eastAsia="宋体" w:hAnsi="Times New Roman" w:cs="Times New Roman"/>
          <w:szCs w:val="21"/>
        </w:rPr>
        <w:t>控制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# </w:t>
      </w:r>
      <w:r>
        <w:rPr>
          <w:rFonts w:ascii="Times New Roman" w:eastAsia="宋体" w:hAnsi="Times New Roman" w:cs="Times New Roman"/>
          <w:szCs w:val="21"/>
        </w:rPr>
        <w:t>加热模式：可选</w:t>
      </w:r>
      <w:r>
        <w:rPr>
          <w:rFonts w:ascii="Times New Roman" w:eastAsia="宋体" w:hAnsi="Times New Roman" w:cs="Times New Roman"/>
          <w:szCs w:val="21"/>
        </w:rPr>
        <w:t xml:space="preserve">3 </w:t>
      </w:r>
      <w:r>
        <w:rPr>
          <w:rFonts w:ascii="Times New Roman" w:eastAsia="宋体" w:hAnsi="Times New Roman" w:cs="Times New Roman"/>
          <w:szCs w:val="21"/>
        </w:rPr>
        <w:t>种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单</w:t>
      </w:r>
      <w:r>
        <w:rPr>
          <w:rFonts w:ascii="Times New Roman" w:eastAsia="宋体" w:hAnsi="Times New Roman" w:cs="Times New Roman"/>
          <w:szCs w:val="21"/>
        </w:rPr>
        <w:t>红外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红外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加热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单</w:t>
      </w:r>
      <w:r>
        <w:rPr>
          <w:rFonts w:ascii="Times New Roman" w:eastAsia="宋体" w:hAnsi="Times New Roman" w:cs="Times New Roman"/>
          <w:szCs w:val="21"/>
        </w:rPr>
        <w:t>加热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定时：</w:t>
      </w:r>
      <w:r>
        <w:rPr>
          <w:rFonts w:ascii="Times New Roman" w:eastAsia="宋体" w:hAnsi="Times New Roman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99h59min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容量：</w:t>
      </w:r>
      <w:r>
        <w:rPr>
          <w:rFonts w:ascii="Times New Roman" w:eastAsia="宋体" w:hAnsi="Times New Roman" w:cs="Times New Roman" w:hint="eastAsia"/>
          <w:szCs w:val="21"/>
        </w:rPr>
        <w:t>最大</w:t>
      </w:r>
      <w:r>
        <w:rPr>
          <w:rFonts w:ascii="Times New Roman" w:eastAsia="宋体" w:hAnsi="Times New Roman" w:cs="Times New Roman"/>
          <w:szCs w:val="21"/>
        </w:rPr>
        <w:t>1.5mL</w:t>
      </w:r>
      <w:r>
        <w:rPr>
          <w:rFonts w:ascii="Arial" w:eastAsia="宋体" w:hAnsi="Arial" w:cs="Arial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132</w:t>
      </w:r>
      <w:r>
        <w:rPr>
          <w:rFonts w:ascii="Times New Roman" w:eastAsia="宋体" w:hAnsi="Times New Roman" w:cs="Times New Roman" w:hint="eastAsia"/>
          <w:szCs w:val="21"/>
        </w:rPr>
        <w:t>或者</w:t>
      </w:r>
      <w:r>
        <w:rPr>
          <w:rFonts w:ascii="Times New Roman" w:eastAsia="宋体" w:hAnsi="Times New Roman" w:cs="Times New Roman"/>
          <w:szCs w:val="21"/>
        </w:rPr>
        <w:t xml:space="preserve">96 </w:t>
      </w:r>
      <w:r>
        <w:rPr>
          <w:rFonts w:ascii="Times New Roman" w:eastAsia="宋体" w:hAnsi="Times New Roman" w:cs="Times New Roman"/>
          <w:szCs w:val="21"/>
        </w:rPr>
        <w:t>孔板</w:t>
      </w:r>
      <w:r>
        <w:rPr>
          <w:rFonts w:ascii="Arial" w:eastAsia="宋体" w:hAnsi="Arial" w:cs="Arial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2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转速范围：</w:t>
      </w:r>
      <w:r>
        <w:rPr>
          <w:rFonts w:ascii="Times New Roman" w:eastAsia="宋体" w:hAnsi="Times New Roman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00rpm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真空泵：</w:t>
      </w:r>
      <w:r>
        <w:rPr>
          <w:rFonts w:ascii="Times New Roman" w:eastAsia="宋体" w:hAnsi="Times New Roman" w:cs="Times New Roman"/>
          <w:szCs w:val="21"/>
        </w:rPr>
        <w:t xml:space="preserve">PTFE </w:t>
      </w:r>
      <w:r>
        <w:rPr>
          <w:rFonts w:ascii="Times New Roman" w:eastAsia="宋体" w:hAnsi="Times New Roman" w:cs="Times New Roman"/>
          <w:szCs w:val="21"/>
        </w:rPr>
        <w:t>防腐蚀隔膜泵，极限真空度</w:t>
      </w:r>
      <w:r>
        <w:rPr>
          <w:rFonts w:ascii="Times New Roman" w:eastAsia="宋体" w:hAnsi="Times New Roman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mbar</w:t>
      </w:r>
      <w:r>
        <w:rPr>
          <w:rFonts w:ascii="Times New Roman" w:eastAsia="宋体" w:hAnsi="Times New Roman" w:cs="Times New Roman"/>
          <w:szCs w:val="21"/>
        </w:rPr>
        <w:t>，抽气速度</w:t>
      </w:r>
      <w:r>
        <w:rPr>
          <w:rFonts w:ascii="Times New Roman" w:eastAsia="宋体" w:hAnsi="Times New Roman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25L/min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尺寸（</w:t>
      </w:r>
      <w:r>
        <w:rPr>
          <w:rFonts w:ascii="Times New Roman" w:eastAsia="宋体" w:hAnsi="Times New Roman" w:cs="Times New Roman"/>
          <w:szCs w:val="21"/>
        </w:rPr>
        <w:t>W</w:t>
      </w:r>
      <w:r>
        <w:rPr>
          <w:rFonts w:ascii="Arial" w:eastAsia="宋体" w:hAnsi="Arial" w:cs="Arial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Arial" w:eastAsia="宋体" w:hAnsi="Arial" w:cs="Arial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hAnsi="Times New Roman" w:cs="Times New Roman"/>
        </w:rPr>
        <w:t>&lt;</w:t>
      </w:r>
      <w:r>
        <w:rPr>
          <w:rFonts w:ascii="Times New Roman" w:eastAsia="宋体" w:hAnsi="Times New Roman" w:cs="Times New Roman"/>
          <w:szCs w:val="21"/>
        </w:rPr>
        <w:t xml:space="preserve"> 70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Arial" w:eastAsia="宋体" w:hAnsi="Arial" w:cs="Arial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700</w:t>
      </w:r>
      <w:r>
        <w:rPr>
          <w:rFonts w:ascii="Arial" w:eastAsia="宋体" w:hAnsi="Arial" w:cs="Arial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Times New Roman" w:eastAsia="宋体" w:hAnsi="Times New Roman" w:cs="Times New Roman"/>
          <w:szCs w:val="21"/>
        </w:rPr>
        <w:t>0mm</w:t>
      </w:r>
    </w:p>
    <w:p w:rsidR="00D15EA7" w:rsidRDefault="005D30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配置：主机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台，</w:t>
      </w:r>
      <w:r>
        <w:rPr>
          <w:rFonts w:ascii="Times New Roman" w:eastAsia="宋体" w:hAnsi="Times New Roman" w:cs="Times New Roman" w:hint="eastAsia"/>
          <w:szCs w:val="21"/>
        </w:rPr>
        <w:t>96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1.5ml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15ml</w:t>
      </w:r>
      <w:r>
        <w:rPr>
          <w:rFonts w:ascii="Times New Roman" w:eastAsia="宋体" w:hAnsi="Times New Roman" w:cs="Times New Roman" w:hint="eastAsia"/>
          <w:szCs w:val="21"/>
        </w:rPr>
        <w:t>转子各一个</w:t>
      </w:r>
    </w:p>
    <w:p w:rsidR="00D15EA7" w:rsidRDefault="00D15EA7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:rsidR="00D15EA7" w:rsidRDefault="005D30EA">
      <w:pPr>
        <w:numPr>
          <w:ilvl w:val="0"/>
          <w:numId w:val="3"/>
        </w:num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台式高速冷冻离心机</w:t>
      </w:r>
      <w:r>
        <w:rPr>
          <w:rFonts w:ascii="Times New Roman" w:eastAsia="宋体" w:hAnsi="Times New Roman" w:cs="Times New Roman" w:hint="eastAsia"/>
          <w:szCs w:val="21"/>
        </w:rPr>
        <w:t xml:space="preserve">  1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r>
        <w:rPr>
          <w:rFonts w:ascii="Times New Roman" w:hAnsi="Times New Roman" w:cs="Times New Roman"/>
        </w:rPr>
        <w:t>转速</w:t>
      </w:r>
      <w:r>
        <w:rPr>
          <w:rFonts w:ascii="Times New Roman" w:hAnsi="Times New Roman" w:cs="Times New Roman"/>
        </w:rPr>
        <w:t>≥15,000 rpm</w:t>
      </w:r>
      <w:r>
        <w:rPr>
          <w:rFonts w:ascii="Times New Roman" w:hAnsi="Times New Roman" w:cs="Times New Roman"/>
        </w:rPr>
        <w:t>，精度达</w:t>
      </w:r>
      <w:r>
        <w:rPr>
          <w:rFonts w:ascii="Times New Roman" w:hAnsi="Times New Roman" w:cs="Times New Roman"/>
        </w:rPr>
        <w:t>±1 rpm</w:t>
      </w:r>
      <w:r>
        <w:rPr>
          <w:rFonts w:ascii="Times New Roman" w:hAnsi="Times New Roman" w:cs="Times New Roman" w:hint="eastAsia"/>
        </w:rPr>
        <w:t>；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r>
        <w:rPr>
          <w:rFonts w:ascii="Times New Roman" w:hAnsi="Times New Roman" w:cs="Times New Roman"/>
        </w:rPr>
        <w:t>最大容量</w:t>
      </w:r>
      <w:r>
        <w:rPr>
          <w:rFonts w:ascii="Times New Roman" w:hAnsi="Times New Roman" w:cs="Times New Roman"/>
        </w:rPr>
        <w:t>(ml)</w:t>
      </w:r>
      <w:r>
        <w:rPr>
          <w:rFonts w:ascii="Times New Roman" w:hAnsi="Times New Roman" w:cs="Times New Roman"/>
        </w:rPr>
        <w:t>：角转子</w:t>
      </w:r>
      <w:r>
        <w:rPr>
          <w:rFonts w:ascii="Times New Roman" w:hAnsi="Times New Roman" w:cs="Times New Roman"/>
        </w:rPr>
        <w:t xml:space="preserve">≥6 </w:t>
      </w:r>
      <w:r>
        <w:rPr>
          <w:rFonts w:ascii="Arial" w:hAnsi="Arial" w:cs="Arial"/>
        </w:rPr>
        <w:t>×</w:t>
      </w:r>
      <w:r>
        <w:rPr>
          <w:rFonts w:ascii="Times New Roman" w:hAnsi="Times New Roman" w:cs="Times New Roman"/>
        </w:rPr>
        <w:t xml:space="preserve"> 85ml /</w:t>
      </w:r>
      <w:r>
        <w:rPr>
          <w:rFonts w:ascii="Times New Roman" w:hAnsi="Times New Roman" w:cs="Times New Roman"/>
        </w:rPr>
        <w:t>水平转子</w:t>
      </w:r>
      <w:r>
        <w:rPr>
          <w:rFonts w:ascii="Times New Roman" w:hAnsi="Times New Roman" w:cs="Times New Roman"/>
        </w:rPr>
        <w:t>≥4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ascii="Arial" w:hAnsi="Arial" w:cs="Arial" w:hint="eastAsia"/>
        </w:rPr>
        <w:t xml:space="preserve"> </w:t>
      </w:r>
      <w:r>
        <w:rPr>
          <w:rFonts w:ascii="Times New Roman" w:hAnsi="Times New Roman" w:cs="Times New Roman"/>
        </w:rPr>
        <w:t>200ml</w:t>
      </w:r>
      <w:r>
        <w:rPr>
          <w:rFonts w:ascii="Times New Roman" w:hAnsi="Times New Roman" w:cs="Times New Roman" w:hint="eastAsia"/>
        </w:rPr>
        <w:t>；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r>
        <w:rPr>
          <w:rFonts w:ascii="Times New Roman" w:hAnsi="Times New Roman" w:cs="Times New Roman"/>
        </w:rPr>
        <w:t>最大离心力</w:t>
      </w:r>
      <w:r>
        <w:rPr>
          <w:rFonts w:ascii="Times New Roman" w:hAnsi="Times New Roman" w:cs="Times New Roman"/>
        </w:rPr>
        <w:t xml:space="preserve">(x </w:t>
      </w: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≥20000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时间控制范围：</w:t>
      </w:r>
      <w:r>
        <w:rPr>
          <w:rFonts w:ascii="Times New Roman" w:hAnsi="Times New Roman" w:cs="Times New Roman"/>
        </w:rPr>
        <w:t>0-9</w:t>
      </w:r>
      <w:r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 xml:space="preserve"> 59</w:t>
      </w:r>
      <w:r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连续运转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短时加速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噪音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dBA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&lt; 66dBA </w:t>
      </w:r>
      <w:r>
        <w:rPr>
          <w:rFonts w:ascii="Times New Roman" w:hAnsi="Times New Roman" w:cs="Times New Roman"/>
        </w:rPr>
        <w:t>（最大转速时）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种加速及减速曲线及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个程序记忆功能；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磁性转头识别，防止转头过速；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免维护无碳刷变频电机</w:t>
      </w:r>
      <w:r>
        <w:rPr>
          <w:rFonts w:ascii="Times New Roman" w:hAnsi="Times New Roman" w:cs="Times New Roman" w:hint="eastAsia"/>
        </w:rPr>
        <w:t>；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微控制器可预设离心力、速度、转头、时间和温度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# </w:t>
      </w:r>
      <w:r>
        <w:rPr>
          <w:rFonts w:ascii="Times New Roman" w:hAnsi="Times New Roman" w:cs="Times New Roman"/>
          <w:color w:val="000000"/>
        </w:rPr>
        <w:t>通过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</w:rPr>
        <w:t>认证及</w:t>
      </w:r>
      <w:r>
        <w:rPr>
          <w:rFonts w:ascii="Times New Roman" w:hAnsi="Times New Roman" w:cs="Times New Roman"/>
          <w:color w:val="000000"/>
        </w:rPr>
        <w:t>TUV</w:t>
      </w:r>
      <w:r>
        <w:rPr>
          <w:rFonts w:ascii="Times New Roman" w:hAnsi="Times New Roman" w:cs="Times New Roman"/>
          <w:color w:val="000000"/>
        </w:rPr>
        <w:t>生物安全认证。</w:t>
      </w:r>
    </w:p>
    <w:p w:rsidR="00D15EA7" w:rsidRDefault="005D30EA">
      <w:pPr>
        <w:numPr>
          <w:ilvl w:val="0"/>
          <w:numId w:val="4"/>
        </w:num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</w:rPr>
        <w:t>配置</w:t>
      </w:r>
      <w:r>
        <w:rPr>
          <w:rFonts w:ascii="Times New Roman" w:hAnsi="Times New Roman" w:cs="Times New Roman"/>
          <w:color w:val="000000"/>
        </w:rPr>
        <w:t>：</w:t>
      </w:r>
      <w:r>
        <w:rPr>
          <w:rFonts w:ascii="Times New Roman" w:hAnsi="Times New Roman" w:cs="Times New Roman"/>
          <w:color w:val="000000"/>
        </w:rPr>
        <w:t>主</w:t>
      </w:r>
      <w:r>
        <w:rPr>
          <w:rFonts w:ascii="Times New Roman" w:hAnsi="Times New Roman" w:cs="Times New Roman"/>
        </w:rPr>
        <w:t>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台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角转子</w:t>
      </w:r>
      <w:r>
        <w:rPr>
          <w:rFonts w:ascii="Times New Roman" w:hAnsi="Times New Roman" w:cs="Times New Roman"/>
        </w:rPr>
        <w:t>24 x1.5ml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角转子</w:t>
      </w:r>
      <w:r>
        <w:rPr>
          <w:rFonts w:ascii="Times New Roman" w:hAnsi="Times New Roman" w:cs="Times New Roman"/>
        </w:rPr>
        <w:t>6 x50 ml</w:t>
      </w:r>
      <w:r>
        <w:rPr>
          <w:rFonts w:ascii="Times New Roman" w:hAnsi="Times New Roman" w:cs="Times New Roman"/>
        </w:rPr>
        <w:t>尖底离心管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个，</w:t>
      </w:r>
      <w:r>
        <w:rPr>
          <w:rFonts w:ascii="Times New Roman" w:hAnsi="Times New Roman" w:cs="Times New Roman"/>
          <w:color w:val="000000"/>
        </w:rPr>
        <w:t>转速</w:t>
      </w:r>
      <w:r>
        <w:rPr>
          <w:rFonts w:ascii="Times New Roman" w:hAnsi="Times New Roman" w:cs="Times New Roman"/>
          <w:color w:val="000000"/>
        </w:rPr>
        <w:t>≥12000rpm</w:t>
      </w:r>
    </w:p>
    <w:p w:rsidR="00D15EA7" w:rsidRDefault="00D15EA7">
      <w:pPr>
        <w:spacing w:line="400" w:lineRule="exact"/>
        <w:rPr>
          <w:rFonts w:ascii="Times New Roman" w:hAnsi="Times New Roman" w:cs="Times New Roman"/>
          <w:color w:val="000000"/>
        </w:rPr>
      </w:pPr>
    </w:p>
    <w:p w:rsidR="00D15EA7" w:rsidRDefault="005D30EA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lastRenderedPageBreak/>
        <w:t>化学防爆冰箱</w:t>
      </w:r>
      <w:r>
        <w:rPr>
          <w:rFonts w:ascii="Times New Roman" w:hAnsi="Times New Roman" w:cs="Times New Roman" w:hint="eastAsia"/>
          <w:color w:val="000000"/>
        </w:rPr>
        <w:t xml:space="preserve"> 2</w:t>
      </w:r>
      <w:r>
        <w:rPr>
          <w:rFonts w:ascii="Times New Roman" w:hAnsi="Times New Roman" w:cs="Times New Roman" w:hint="eastAsia"/>
          <w:color w:val="000000"/>
        </w:rPr>
        <w:t>台</w:t>
      </w:r>
    </w:p>
    <w:p w:rsidR="00D15EA7" w:rsidRDefault="005D30EA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微型高速离心机</w:t>
      </w:r>
      <w:r>
        <w:rPr>
          <w:rFonts w:ascii="Times New Roman" w:hAnsi="Times New Roman" w:cs="Times New Roman" w:hint="eastAsia"/>
          <w:color w:val="000000"/>
        </w:rPr>
        <w:t xml:space="preserve"> 2</w:t>
      </w:r>
      <w:r>
        <w:rPr>
          <w:rFonts w:ascii="Times New Roman" w:hAnsi="Times New Roman" w:cs="Times New Roman" w:hint="eastAsia"/>
          <w:color w:val="000000"/>
        </w:rPr>
        <w:t>台</w:t>
      </w:r>
    </w:p>
    <w:p w:rsidR="00D15EA7" w:rsidRDefault="005D30EA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易燃品安全存储柜</w:t>
      </w:r>
      <w:r>
        <w:rPr>
          <w:rFonts w:ascii="Times New Roman" w:hAnsi="Times New Roman" w:cs="Times New Roman" w:hint="eastAsia"/>
          <w:color w:val="000000"/>
        </w:rPr>
        <w:t xml:space="preserve"> 2</w:t>
      </w:r>
      <w:r>
        <w:rPr>
          <w:rFonts w:ascii="Times New Roman" w:hAnsi="Times New Roman" w:cs="Times New Roman" w:hint="eastAsia"/>
          <w:color w:val="000000"/>
        </w:rPr>
        <w:t>台</w:t>
      </w:r>
    </w:p>
    <w:p w:rsidR="00D15EA7" w:rsidRDefault="005D30EA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微孔板离心机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ascii="Times New Roman" w:hAnsi="Times New Roman" w:cs="Times New Roman" w:hint="eastAsia"/>
          <w:color w:val="000000"/>
        </w:rPr>
        <w:t>台</w:t>
      </w:r>
      <w:bookmarkStart w:id="0" w:name="_GoBack"/>
      <w:bookmarkEnd w:id="0"/>
    </w:p>
    <w:sectPr w:rsidR="00D15EA7" w:rsidSect="00D1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EA" w:rsidRDefault="005D30EA" w:rsidP="006809AB">
      <w:r>
        <w:separator/>
      </w:r>
    </w:p>
  </w:endnote>
  <w:endnote w:type="continuationSeparator" w:id="0">
    <w:p w:rsidR="005D30EA" w:rsidRDefault="005D30EA" w:rsidP="0068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EA" w:rsidRDefault="005D30EA" w:rsidP="006809AB">
      <w:r>
        <w:separator/>
      </w:r>
    </w:p>
  </w:footnote>
  <w:footnote w:type="continuationSeparator" w:id="0">
    <w:p w:rsidR="005D30EA" w:rsidRDefault="005D30EA" w:rsidP="00680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AF2207"/>
    <w:multiLevelType w:val="singleLevel"/>
    <w:tmpl w:val="C1AF22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E6404A"/>
    <w:multiLevelType w:val="singleLevel"/>
    <w:tmpl w:val="F2E640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99F7E27"/>
    <w:multiLevelType w:val="multilevel"/>
    <w:tmpl w:val="299F7E27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upperLetter"/>
      <w:lvlText w:val="%2、"/>
      <w:lvlJc w:val="left"/>
      <w:pPr>
        <w:ind w:left="126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6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12E524"/>
    <w:multiLevelType w:val="singleLevel"/>
    <w:tmpl w:val="4812E5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A7"/>
    <w:rsid w:val="005D30EA"/>
    <w:rsid w:val="006809AB"/>
    <w:rsid w:val="00D15EA7"/>
    <w:rsid w:val="05D12C54"/>
    <w:rsid w:val="11CB323E"/>
    <w:rsid w:val="12BB215B"/>
    <w:rsid w:val="17F676E5"/>
    <w:rsid w:val="256F4C46"/>
    <w:rsid w:val="26C41A04"/>
    <w:rsid w:val="2CB44638"/>
    <w:rsid w:val="422A6F58"/>
    <w:rsid w:val="423E7750"/>
    <w:rsid w:val="51981F7D"/>
    <w:rsid w:val="591F1254"/>
    <w:rsid w:val="7885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W">
    <w:name w:val="ZW"/>
    <w:basedOn w:val="a"/>
    <w:qFormat/>
    <w:rsid w:val="00D15EA7"/>
    <w:pPr>
      <w:widowControl/>
      <w:spacing w:line="360" w:lineRule="auto"/>
      <w:ind w:firstLineChars="200" w:firstLine="200"/>
      <w:jc w:val="left"/>
    </w:pPr>
  </w:style>
  <w:style w:type="paragraph" w:styleId="a3">
    <w:name w:val="List Paragraph"/>
    <w:basedOn w:val="a"/>
    <w:uiPriority w:val="34"/>
    <w:qFormat/>
    <w:rsid w:val="00D15EA7"/>
    <w:pPr>
      <w:ind w:firstLineChars="200" w:firstLine="420"/>
    </w:pPr>
  </w:style>
  <w:style w:type="paragraph" w:styleId="a4">
    <w:name w:val="header"/>
    <w:basedOn w:val="a"/>
    <w:link w:val="Char"/>
    <w:rsid w:val="0068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09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8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09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jgc-3</cp:lastModifiedBy>
  <cp:revision>2</cp:revision>
  <dcterms:created xsi:type="dcterms:W3CDTF">2021-06-08T08:46:00Z</dcterms:created>
  <dcterms:modified xsi:type="dcterms:W3CDTF">2021-06-08T08:46:00Z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