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E3" w:rsidRDefault="0003533F">
      <w:pPr>
        <w:rPr>
          <w:rFonts w:ascii="仿宋" w:eastAsia="仿宋" w:hAnsi="仿宋"/>
          <w:sz w:val="24"/>
          <w:szCs w:val="24"/>
        </w:rPr>
      </w:pPr>
      <w:r w:rsidRPr="0003533F">
        <w:rPr>
          <w:rFonts w:ascii="仿宋" w:eastAsia="仿宋" w:hAnsi="仿宋"/>
          <w:sz w:val="24"/>
          <w:szCs w:val="24"/>
        </w:rPr>
        <w:t>自助签到机</w:t>
      </w:r>
    </w:p>
    <w:p w:rsidR="0003533F" w:rsidRPr="0003533F" w:rsidRDefault="0003533F">
      <w:pPr>
        <w:rPr>
          <w:rFonts w:ascii="仿宋" w:eastAsia="仿宋" w:hAnsi="仿宋"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2570"/>
        <w:gridCol w:w="6082"/>
      </w:tblGrid>
      <w:tr w:rsidR="0003533F" w:rsidRPr="0003533F" w:rsidTr="00F77DE9">
        <w:trPr>
          <w:trHeight w:val="285"/>
        </w:trPr>
        <w:tc>
          <w:tcPr>
            <w:tcW w:w="3714" w:type="dxa"/>
            <w:gridSpan w:val="2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型号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液晶屏</w:t>
            </w: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尺寸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22</w:t>
            </w: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寸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屏幕分辨率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1280*1024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可视角度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178°/178°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亮度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500cd/m2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对比度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1000:1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显示屏颜色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16.7M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反应时间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4ms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扫描频率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50HZ-60HZ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背光源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LED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显示输出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VGA/HDMI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彩色制式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PAL/NTSC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输入接口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HDMI输入VGA输入一路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触摸屏</w:t>
            </w: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触摸屏类型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红外触摸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触摸分辨率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4096*4096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扫描率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50scans/s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透光率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≥95%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最小触摸体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2.5mm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响应速度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＜10ms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触摸介质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手指、触摸笔等不透光物体</w:t>
            </w:r>
          </w:p>
        </w:tc>
      </w:tr>
      <w:tr w:rsidR="0003533F" w:rsidRPr="0003533F" w:rsidTr="00F77DE9">
        <w:trPr>
          <w:trHeight w:val="234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耐久性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承受超过6000万次以上的单点触摸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计算机响应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系统自动识别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触摸体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任意不透光物体 ≥5mm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漂移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无漂移，不随环境产生变化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抗光性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≥100000LUX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防水等级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IP65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容错率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10%</w:t>
            </w:r>
          </w:p>
        </w:tc>
      </w:tr>
      <w:tr w:rsidR="0003533F" w:rsidRPr="0003533F" w:rsidTr="005B376A">
        <w:trPr>
          <w:trHeight w:val="285"/>
        </w:trPr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主机</w:t>
            </w: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操作系统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 xml:space="preserve">Win7系统 </w:t>
            </w:r>
          </w:p>
        </w:tc>
      </w:tr>
      <w:tr w:rsidR="0003533F" w:rsidRPr="0003533F" w:rsidTr="005B376A">
        <w:trPr>
          <w:trHeight w:val="309"/>
        </w:trPr>
        <w:tc>
          <w:tcPr>
            <w:tcW w:w="1144" w:type="dxa"/>
            <w:vMerge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处理器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jc w:val="center"/>
              <w:rPr>
                <w:rFonts w:ascii="仿宋" w:eastAsia="仿宋" w:hAnsi="仿宋" w:cs="宋体"/>
                <w:color w:val="0000FF"/>
                <w:sz w:val="24"/>
                <w:szCs w:val="24"/>
              </w:rPr>
            </w:pPr>
            <w:r w:rsidRPr="005B376A">
              <w:rPr>
                <w:rFonts w:ascii="仿宋" w:eastAsia="仿宋" w:hAnsi="仿宋" w:cs="宋体" w:hint="eastAsia"/>
                <w:sz w:val="24"/>
                <w:szCs w:val="24"/>
              </w:rPr>
              <w:t>英特尔Celerron（赛扬）1037u@1.80GHz双核</w:t>
            </w:r>
          </w:p>
        </w:tc>
      </w:tr>
      <w:tr w:rsidR="0003533F" w:rsidRPr="0003533F" w:rsidTr="005B376A">
        <w:trPr>
          <w:trHeight w:val="285"/>
        </w:trPr>
        <w:tc>
          <w:tcPr>
            <w:tcW w:w="1144" w:type="dxa"/>
            <w:vMerge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电源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DC-IN适配器（12v供电）</w:t>
            </w:r>
          </w:p>
        </w:tc>
      </w:tr>
      <w:tr w:rsidR="0003533F" w:rsidRPr="0003533F" w:rsidTr="008956BB">
        <w:trPr>
          <w:trHeight w:val="285"/>
        </w:trPr>
        <w:tc>
          <w:tcPr>
            <w:tcW w:w="1144" w:type="dxa"/>
            <w:vMerge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内存</w:t>
            </w:r>
          </w:p>
        </w:tc>
        <w:tc>
          <w:tcPr>
            <w:tcW w:w="6082" w:type="dxa"/>
            <w:shd w:val="clear" w:color="auto" w:fill="FFFF00"/>
            <w:vAlign w:val="center"/>
            <w:hideMark/>
          </w:tcPr>
          <w:p w:rsidR="0003533F" w:rsidRPr="005B376A" w:rsidRDefault="005B376A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4</w:t>
            </w:r>
            <w:r w:rsidR="0003533F"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GB</w:t>
            </w:r>
          </w:p>
        </w:tc>
      </w:tr>
      <w:tr w:rsidR="0003533F" w:rsidRPr="0003533F" w:rsidTr="008956BB">
        <w:trPr>
          <w:trHeight w:val="285"/>
        </w:trPr>
        <w:tc>
          <w:tcPr>
            <w:tcW w:w="1144" w:type="dxa"/>
            <w:vMerge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硬盘</w:t>
            </w:r>
          </w:p>
        </w:tc>
        <w:tc>
          <w:tcPr>
            <w:tcW w:w="6082" w:type="dxa"/>
            <w:shd w:val="clear" w:color="auto" w:fill="FFFF00"/>
            <w:vAlign w:val="center"/>
            <w:hideMark/>
          </w:tcPr>
          <w:p w:rsidR="0003533F" w:rsidRPr="005B376A" w:rsidRDefault="005B376A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64</w:t>
            </w:r>
            <w:r w:rsidR="0003533F"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G固态</w:t>
            </w:r>
          </w:p>
        </w:tc>
      </w:tr>
      <w:tr w:rsidR="0003533F" w:rsidRPr="0003533F" w:rsidTr="005B376A">
        <w:trPr>
          <w:trHeight w:val="285"/>
        </w:trPr>
        <w:tc>
          <w:tcPr>
            <w:tcW w:w="1144" w:type="dxa"/>
            <w:vMerge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支持卡型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声卡，网卡</w:t>
            </w:r>
          </w:p>
        </w:tc>
      </w:tr>
      <w:tr w:rsidR="0003533F" w:rsidRPr="0003533F" w:rsidTr="005B376A">
        <w:trPr>
          <w:trHeight w:val="231"/>
        </w:trPr>
        <w:tc>
          <w:tcPr>
            <w:tcW w:w="1144" w:type="dxa"/>
            <w:vMerge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接口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4*USB2.0/2*USB3.0/1*HDKI/1*WAN/1*VGA</w:t>
            </w:r>
          </w:p>
        </w:tc>
      </w:tr>
      <w:tr w:rsidR="0003533F" w:rsidRPr="0003533F" w:rsidTr="005B376A">
        <w:trPr>
          <w:trHeight w:val="285"/>
        </w:trPr>
        <w:tc>
          <w:tcPr>
            <w:tcW w:w="1144" w:type="dxa"/>
            <w:vMerge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功耗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5B376A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36w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外观</w:t>
            </w: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安装方式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立式</w:t>
            </w:r>
          </w:p>
        </w:tc>
      </w:tr>
      <w:tr w:rsidR="0003533F" w:rsidRPr="0003533F" w:rsidTr="00F77DE9">
        <w:trPr>
          <w:trHeight w:val="328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边框颜色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5B376A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白色</w:t>
            </w:r>
          </w:p>
        </w:tc>
      </w:tr>
      <w:tr w:rsidR="0003533F" w:rsidRPr="0003533F" w:rsidTr="00F77DE9">
        <w:trPr>
          <w:trHeight w:val="271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机柜</w:t>
            </w:r>
            <w:bookmarkStart w:id="0" w:name="_GoBack"/>
            <w:bookmarkEnd w:id="0"/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冷轧钢板，内部防磁防锈防静电处理。外部高档金属烤漆</w:t>
            </w:r>
            <w:r w:rsidR="005B376A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，医院LOGO印刷。</w:t>
            </w:r>
          </w:p>
        </w:tc>
      </w:tr>
      <w:tr w:rsidR="0003533F" w:rsidRPr="0003533F" w:rsidTr="00F77DE9">
        <w:trPr>
          <w:trHeight w:val="260"/>
        </w:trPr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电源</w:t>
            </w: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工作电源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AC 220V ±10%  50HZ±1Hz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额定功率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280W</w:t>
            </w:r>
          </w:p>
        </w:tc>
      </w:tr>
      <w:tr w:rsidR="0003533F" w:rsidRPr="0003533F" w:rsidTr="00F77DE9">
        <w:trPr>
          <w:trHeight w:val="245"/>
        </w:trPr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lastRenderedPageBreak/>
              <w:t>尺寸</w:t>
            </w: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机身尺寸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1428.77mm*500mm*360mm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净重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45KG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工作环境</w:t>
            </w: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工作温度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0-45°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储存温度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-20°-60°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相对湿度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20%-80%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热敏打印机</w:t>
            </w: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打印方式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行式热敏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打印纸宽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80mm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打印宽度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72mm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分辨率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8点/mm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每行点数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576点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打印速度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MAX150mm/s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shd w:val="clear" w:color="auto" w:fill="auto"/>
            <w:vAlign w:val="center"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电源要求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DC24v±10%，2A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shd w:val="clear" w:color="auto" w:fill="auto"/>
            <w:vAlign w:val="center"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接口方式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RS-232c串口，并口，USB，蓝牙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shd w:val="clear" w:color="auto" w:fill="auto"/>
            <w:vAlign w:val="center"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工作温度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0°——50°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工作湿度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10%——80%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储藏温度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-40°——70°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储藏湿度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10%——95%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shd w:val="clear" w:color="auto" w:fill="auto"/>
            <w:vAlign w:val="center"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装纸方式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 w:rsidRPr="0003533F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自动上纸，自动切纸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:rsidR="0003533F" w:rsidRPr="0003533F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条码扫描器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图像传感器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CMOS 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像素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 752 * 480 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照明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 白光LED 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识读码制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F77DE9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 xml:space="preserve">2D   </w:t>
            </w:r>
            <w:r w:rsidR="0003533F"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PDF417, Data Matrix, QR Code </w:t>
            </w:r>
            <w:r w:rsidR="0003533F"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br/>
            </w:r>
            <w:r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1D </w:t>
            </w:r>
            <w:r w:rsidR="0003533F"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EAN-13(可带附加码), EAN-8(可带附加码), UPC-A(可带附加码), UPC-E(可带附加码), ISSN, ISBN, Codabar, Code 128(包括FNC1、FNC2、FNC3子集), Code 93, ITF-6, ITF-14, Interleaved 2 of 5, Industrial 2 of 5, Standard 2 of 5,Matrix 2 of 5, GS1 Databar (RSS-Expand, RSS-Limited, RSS-14), Code 39(包括Code 39 FULL ASCII), Code 11, MSI- Plessey, Plessey 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识读精度*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 ≥6.7mil 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识读模式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 感应识读 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条码灵敏度**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 倾斜(pitch)   ±40°</w:t>
            </w: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br/>
              <w:t> 旋转</w:t>
            </w:r>
            <w:r w:rsid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 xml:space="preserve">(tilt)   </w:t>
            </w: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360°</w:t>
            </w: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br/>
              <w:t> 偏转(skew)   ±30°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视场角度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 水平68.5°，垂直51.5°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符号反差*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 ≥25% 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通讯接口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 RS232,USB 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外观尺寸(mm)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 78.2(W)×67.2(D)×52.3(H)mm </w:t>
            </w:r>
          </w:p>
        </w:tc>
      </w:tr>
      <w:tr w:rsidR="0003533F" w:rsidRPr="0003533F" w:rsidTr="00F77DE9">
        <w:trPr>
          <w:trHeight w:val="234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重量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 170g 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提示方式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 蜂鸣器 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工作电压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 5VDC±5% 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额定功耗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 858mW（典型值）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工作电流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187mA（典型值），209mA（最大值）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工作温度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 -20℃~60℃ 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存储温度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 -40℃~+70℃ 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  <w:hideMark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相对湿度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 5%~95%（无凝结） </w:t>
            </w:r>
          </w:p>
        </w:tc>
      </w:tr>
      <w:tr w:rsidR="0003533F" w:rsidRPr="0003533F" w:rsidTr="00F77DE9">
        <w:trPr>
          <w:trHeight w:val="285"/>
        </w:trPr>
        <w:tc>
          <w:tcPr>
            <w:tcW w:w="1144" w:type="dxa"/>
            <w:vMerge/>
            <w:vAlign w:val="center"/>
          </w:tcPr>
          <w:p w:rsidR="0003533F" w:rsidRPr="0003533F" w:rsidRDefault="0003533F" w:rsidP="00E07C38">
            <w:pP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03533F" w:rsidRPr="00F77DE9" w:rsidRDefault="0003533F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静电防护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03533F" w:rsidRPr="00F77DE9" w:rsidRDefault="0003533F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 w:rsidRPr="00F77DE9"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±8 kV（空气放电），±4 kV（直接放电）</w:t>
            </w:r>
          </w:p>
        </w:tc>
      </w:tr>
      <w:tr w:rsidR="00BB51A6" w:rsidRPr="0003533F" w:rsidTr="00F77DE9">
        <w:trPr>
          <w:trHeight w:val="285"/>
        </w:trPr>
        <w:tc>
          <w:tcPr>
            <w:tcW w:w="1144" w:type="dxa"/>
            <w:vAlign w:val="center"/>
          </w:tcPr>
          <w:p w:rsidR="00BB51A6" w:rsidRPr="0003533F" w:rsidRDefault="00BB51A6" w:rsidP="00BB51A6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  <w:t>就诊卡读卡器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B51A6" w:rsidRPr="00F77DE9" w:rsidRDefault="00BB51A6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参数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BB51A6" w:rsidRPr="00BB51A6" w:rsidRDefault="00BB51A6" w:rsidP="00BB51A6">
            <w:pPr>
              <w:jc w:val="left"/>
              <w:rPr>
                <w:rFonts w:ascii="仿宋" w:eastAsia="仿宋" w:hAnsi="仿宋" w:cs="宋体"/>
                <w:b/>
                <w:bCs/>
                <w:color w:val="333333"/>
                <w:sz w:val="24"/>
                <w:szCs w:val="24"/>
              </w:rPr>
            </w:pPr>
            <w:r w:rsidRPr="00BB51A6">
              <w:rPr>
                <w:rFonts w:ascii="仿宋" w:eastAsia="仿宋" w:hAnsi="仿宋" w:cs="宋体" w:hint="eastAsia"/>
                <w:b/>
                <w:bCs/>
                <w:color w:val="FF0000"/>
                <w:sz w:val="24"/>
                <w:szCs w:val="24"/>
              </w:rPr>
              <w:t>与信息科沟通结果，他们并未收到准备更换院内就诊卡的相关信息，所以不能确定新就诊卡的类型，对应的读卡器的类型也不能确定</w:t>
            </w:r>
          </w:p>
        </w:tc>
      </w:tr>
      <w:tr w:rsidR="00BB51A6" w:rsidRPr="0003533F" w:rsidTr="00F77DE9">
        <w:trPr>
          <w:trHeight w:val="285"/>
        </w:trPr>
        <w:tc>
          <w:tcPr>
            <w:tcW w:w="1144" w:type="dxa"/>
            <w:vAlign w:val="center"/>
          </w:tcPr>
          <w:p w:rsidR="00BB51A6" w:rsidRPr="0003533F" w:rsidRDefault="00BB51A6" w:rsidP="00BB51A6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  <w:t>其他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B51A6" w:rsidRPr="00F77DE9" w:rsidRDefault="005B376A" w:rsidP="00F77DE9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预留端口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BB51A6" w:rsidRPr="00F77DE9" w:rsidRDefault="00BB51A6" w:rsidP="00E07C38">
            <w:pPr>
              <w:jc w:val="center"/>
              <w:rPr>
                <w:rFonts w:ascii="仿宋" w:eastAsia="仿宋" w:hAnsi="仿宋" w:cs="宋体"/>
                <w:bCs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sz w:val="24"/>
                <w:szCs w:val="24"/>
              </w:rPr>
              <w:t>预留社保卡读卡器端口</w:t>
            </w:r>
          </w:p>
        </w:tc>
      </w:tr>
    </w:tbl>
    <w:p w:rsidR="0003533F" w:rsidRPr="0003533F" w:rsidRDefault="0003533F">
      <w:pPr>
        <w:rPr>
          <w:sz w:val="24"/>
          <w:szCs w:val="24"/>
        </w:rPr>
      </w:pPr>
    </w:p>
    <w:sectPr w:rsidR="0003533F" w:rsidRPr="0003533F" w:rsidSect="0013599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AB" w:rsidRDefault="002015AB" w:rsidP="0003533F">
      <w:r>
        <w:separator/>
      </w:r>
    </w:p>
  </w:endnote>
  <w:endnote w:type="continuationSeparator" w:id="1">
    <w:p w:rsidR="002015AB" w:rsidRDefault="002015AB" w:rsidP="00035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AB" w:rsidRDefault="002015AB" w:rsidP="0003533F">
      <w:r>
        <w:separator/>
      </w:r>
    </w:p>
  </w:footnote>
  <w:footnote w:type="continuationSeparator" w:id="1">
    <w:p w:rsidR="002015AB" w:rsidRDefault="002015AB" w:rsidP="00035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140"/>
    <w:rsid w:val="00027208"/>
    <w:rsid w:val="0003533F"/>
    <w:rsid w:val="0013599F"/>
    <w:rsid w:val="001E61E3"/>
    <w:rsid w:val="002015AB"/>
    <w:rsid w:val="00400414"/>
    <w:rsid w:val="005B376A"/>
    <w:rsid w:val="00716140"/>
    <w:rsid w:val="00760E58"/>
    <w:rsid w:val="008956BB"/>
    <w:rsid w:val="00BB51A6"/>
    <w:rsid w:val="00F77DE9"/>
    <w:rsid w:val="00F8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3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33F"/>
    <w:rPr>
      <w:sz w:val="18"/>
      <w:szCs w:val="18"/>
    </w:rPr>
  </w:style>
  <w:style w:type="character" w:customStyle="1" w:styleId="apple-converted-space">
    <w:name w:val="apple-converted-space"/>
    <w:basedOn w:val="a0"/>
    <w:rsid w:val="0003533F"/>
  </w:style>
  <w:style w:type="paragraph" w:styleId="a5">
    <w:name w:val="Balloon Text"/>
    <w:basedOn w:val="a"/>
    <w:link w:val="Char1"/>
    <w:uiPriority w:val="99"/>
    <w:semiHidden/>
    <w:unhideWhenUsed/>
    <w:rsid w:val="001359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59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3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33F"/>
    <w:rPr>
      <w:sz w:val="18"/>
      <w:szCs w:val="18"/>
    </w:rPr>
  </w:style>
  <w:style w:type="character" w:customStyle="1" w:styleId="apple-converted-space">
    <w:name w:val="apple-converted-space"/>
    <w:basedOn w:val="a0"/>
    <w:rsid w:val="0003533F"/>
  </w:style>
  <w:style w:type="paragraph" w:styleId="a5">
    <w:name w:val="Balloon Text"/>
    <w:basedOn w:val="a"/>
    <w:link w:val="Char1"/>
    <w:uiPriority w:val="99"/>
    <w:semiHidden/>
    <w:unhideWhenUsed/>
    <w:rsid w:val="001359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59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Ace-Pad</dc:creator>
  <cp:lastModifiedBy>M</cp:lastModifiedBy>
  <cp:revision>2</cp:revision>
  <cp:lastPrinted>2018-09-10T04:19:00Z</cp:lastPrinted>
  <dcterms:created xsi:type="dcterms:W3CDTF">2018-09-18T09:24:00Z</dcterms:created>
  <dcterms:modified xsi:type="dcterms:W3CDTF">2018-09-18T09:24:00Z</dcterms:modified>
</cp:coreProperties>
</file>