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3863" w:rsidRPr="00F507CB" w:rsidRDefault="00E73863" w:rsidP="00E73863">
      <w:pPr>
        <w:widowControl/>
        <w:spacing w:line="360" w:lineRule="auto"/>
        <w:jc w:val="center"/>
        <w:rPr>
          <w:rFonts w:ascii="宋体" w:hAnsi="宋体" w:cs="宋体"/>
          <w:b/>
          <w:kern w:val="0"/>
          <w:sz w:val="28"/>
          <w:szCs w:val="28"/>
        </w:rPr>
      </w:pPr>
      <w:r w:rsidRPr="00F507CB">
        <w:rPr>
          <w:rFonts w:ascii="宋体" w:hAnsi="宋体" w:cs="宋体" w:hint="eastAsia"/>
          <w:b/>
          <w:kern w:val="0"/>
          <w:sz w:val="28"/>
          <w:szCs w:val="28"/>
        </w:rPr>
        <w:t>项目技术需求</w:t>
      </w:r>
    </w:p>
    <w:p w:rsidR="00E73863" w:rsidRPr="00F20C9D" w:rsidRDefault="00E73863" w:rsidP="00E73863">
      <w:pPr>
        <w:spacing w:line="360" w:lineRule="auto"/>
        <w:rPr>
          <w:rFonts w:ascii="宋体" w:hAnsi="宋体"/>
          <w:b/>
          <w:sz w:val="28"/>
        </w:rPr>
      </w:pPr>
      <w:r w:rsidRPr="00F20C9D">
        <w:rPr>
          <w:rFonts w:ascii="宋体" w:hAnsi="宋体" w:hint="eastAsia"/>
          <w:b/>
          <w:sz w:val="28"/>
        </w:rPr>
        <w:t>一、本项目主要工作内容包含：</w:t>
      </w:r>
    </w:p>
    <w:p w:rsidR="00E73863" w:rsidRDefault="00E73863" w:rsidP="00E73863">
      <w:pPr>
        <w:spacing w:line="360" w:lineRule="auto"/>
        <w:ind w:firstLine="420"/>
        <w:rPr>
          <w:rFonts w:ascii="宋体" w:hAnsi="宋体"/>
          <w:sz w:val="24"/>
        </w:rPr>
      </w:pPr>
      <w:r w:rsidRPr="00021A67">
        <w:rPr>
          <w:rFonts w:ascii="宋体" w:hAnsi="宋体" w:hint="eastAsia"/>
          <w:sz w:val="24"/>
        </w:rPr>
        <w:t>1、</w:t>
      </w:r>
      <w:r w:rsidRPr="00F20C9D">
        <w:rPr>
          <w:rFonts w:ascii="宋体" w:hAnsi="宋体" w:hint="eastAsia"/>
          <w:sz w:val="24"/>
        </w:rPr>
        <w:t>服务内容：</w:t>
      </w:r>
    </w:p>
    <w:p w:rsidR="00E73863" w:rsidRDefault="00E73863" w:rsidP="00E73863">
      <w:pPr>
        <w:spacing w:line="360" w:lineRule="auto"/>
        <w:ind w:firstLine="420"/>
        <w:rPr>
          <w:rFonts w:ascii="宋体" w:hAnsi="宋体"/>
          <w:sz w:val="24"/>
        </w:rPr>
      </w:pPr>
      <w:r>
        <w:rPr>
          <w:rFonts w:ascii="宋体" w:hAnsi="宋体" w:hint="eastAsia"/>
          <w:sz w:val="24"/>
        </w:rPr>
        <w:t xml:space="preserve"> </w:t>
      </w:r>
      <w:r>
        <w:rPr>
          <w:rFonts w:ascii="宋体" w:hAnsi="宋体"/>
          <w:sz w:val="24"/>
        </w:rPr>
        <w:t xml:space="preserve">   </w:t>
      </w:r>
      <w:r>
        <w:rPr>
          <w:rFonts w:ascii="宋体" w:hAnsi="宋体" w:hint="eastAsia"/>
          <w:sz w:val="24"/>
        </w:rPr>
        <w:t>国家癌症中心生物样本库（液氮罐系统）的液氮供应，需将液氮运输并充装至该生物样本库的2台液氮罐，约需1</w:t>
      </w:r>
      <w:r>
        <w:rPr>
          <w:rFonts w:ascii="宋体" w:hAnsi="宋体"/>
          <w:sz w:val="24"/>
        </w:rPr>
        <w:t>33L</w:t>
      </w:r>
      <w:r>
        <w:rPr>
          <w:rFonts w:ascii="宋体" w:hAnsi="宋体" w:hint="eastAsia"/>
          <w:sz w:val="24"/>
        </w:rPr>
        <w:t>液氮</w:t>
      </w:r>
      <w:r>
        <w:rPr>
          <w:rFonts w:ascii="宋体" w:hAnsi="宋体"/>
          <w:sz w:val="24"/>
        </w:rPr>
        <w:t>/</w:t>
      </w:r>
      <w:r>
        <w:rPr>
          <w:rFonts w:ascii="宋体" w:hAnsi="宋体" w:hint="eastAsia"/>
          <w:sz w:val="24"/>
        </w:rPr>
        <w:t>台，2台自动化液氮罐，约需3</w:t>
      </w:r>
      <w:r>
        <w:rPr>
          <w:rFonts w:ascii="宋体" w:hAnsi="宋体"/>
          <w:sz w:val="24"/>
        </w:rPr>
        <w:t>00L</w:t>
      </w:r>
      <w:r>
        <w:rPr>
          <w:rFonts w:ascii="宋体" w:hAnsi="宋体" w:hint="eastAsia"/>
          <w:sz w:val="24"/>
        </w:rPr>
        <w:t>液氮/台，均不含日常挥发。</w:t>
      </w:r>
    </w:p>
    <w:p w:rsidR="00E73863" w:rsidRPr="00F20C9D" w:rsidRDefault="00E73863" w:rsidP="00E73863">
      <w:pPr>
        <w:spacing w:line="360" w:lineRule="auto"/>
        <w:ind w:firstLine="420"/>
        <w:rPr>
          <w:rFonts w:ascii="宋体" w:hAnsi="宋体"/>
          <w:sz w:val="24"/>
        </w:rPr>
      </w:pPr>
      <w:r>
        <w:rPr>
          <w:rFonts w:ascii="宋体" w:hAnsi="宋体" w:hint="eastAsia"/>
          <w:sz w:val="24"/>
        </w:rPr>
        <w:t>2、服务的技术要求</w:t>
      </w:r>
    </w:p>
    <w:p w:rsidR="00E73863" w:rsidRDefault="00E73863" w:rsidP="00E73863">
      <w:pPr>
        <w:numPr>
          <w:ilvl w:val="0"/>
          <w:numId w:val="2"/>
        </w:numPr>
        <w:spacing w:line="360" w:lineRule="auto"/>
        <w:rPr>
          <w:rFonts w:ascii="宋体" w:hAnsi="宋体"/>
          <w:sz w:val="24"/>
        </w:rPr>
      </w:pPr>
      <w:r w:rsidRPr="00F20C9D">
        <w:rPr>
          <w:rFonts w:ascii="宋体" w:hAnsi="宋体" w:hint="eastAsia"/>
          <w:sz w:val="24"/>
        </w:rPr>
        <w:t>液氮</w:t>
      </w:r>
      <w:r>
        <w:rPr>
          <w:rFonts w:ascii="宋体" w:hAnsi="宋体" w:hint="eastAsia"/>
          <w:sz w:val="24"/>
        </w:rPr>
        <w:t>供应能够满足生物样本库（液氮罐系统）制冷消耗的需求，满负荷运行每月预测的消耗量约为6</w:t>
      </w:r>
      <w:bookmarkStart w:id="0" w:name="_GoBack"/>
      <w:bookmarkEnd w:id="0"/>
      <w:r>
        <w:rPr>
          <w:rFonts w:ascii="宋体" w:hAnsi="宋体"/>
          <w:sz w:val="24"/>
        </w:rPr>
        <w:t>0</w:t>
      </w:r>
      <w:r>
        <w:rPr>
          <w:rFonts w:ascii="宋体" w:hAnsi="宋体" w:hint="eastAsia"/>
          <w:sz w:val="24"/>
        </w:rPr>
        <w:t>罐。</w:t>
      </w:r>
    </w:p>
    <w:p w:rsidR="00E73863" w:rsidRDefault="00E73863" w:rsidP="00E73863">
      <w:pPr>
        <w:numPr>
          <w:ilvl w:val="0"/>
          <w:numId w:val="2"/>
        </w:numPr>
        <w:spacing w:line="360" w:lineRule="auto"/>
        <w:rPr>
          <w:rFonts w:ascii="宋体" w:hAnsi="宋体"/>
          <w:sz w:val="24"/>
        </w:rPr>
      </w:pPr>
      <w:r w:rsidRPr="00F20C9D">
        <w:rPr>
          <w:rFonts w:ascii="宋体" w:hAnsi="宋体" w:hint="eastAsia"/>
          <w:sz w:val="24"/>
        </w:rPr>
        <w:t>液氮纯度：≥9</w:t>
      </w:r>
      <w:r w:rsidRPr="00F20C9D">
        <w:rPr>
          <w:rFonts w:ascii="宋体" w:hAnsi="宋体"/>
          <w:sz w:val="24"/>
        </w:rPr>
        <w:t>9.999</w:t>
      </w:r>
      <w:r w:rsidRPr="00F20C9D">
        <w:rPr>
          <w:rFonts w:ascii="宋体" w:hAnsi="宋体" w:hint="eastAsia"/>
          <w:sz w:val="24"/>
        </w:rPr>
        <w:t>%</w:t>
      </w:r>
      <w:r w:rsidRPr="00F20C9D">
        <w:rPr>
          <w:rFonts w:ascii="宋体" w:hAnsi="宋体"/>
          <w:sz w:val="24"/>
        </w:rPr>
        <w:t xml:space="preserve"> </w:t>
      </w:r>
      <w:r w:rsidRPr="00F20C9D">
        <w:rPr>
          <w:rFonts w:ascii="宋体" w:hAnsi="宋体" w:hint="eastAsia"/>
          <w:sz w:val="24"/>
        </w:rPr>
        <w:t>，符合国标</w:t>
      </w:r>
      <w:r>
        <w:rPr>
          <w:rFonts w:ascii="微软雅黑" w:eastAsia="微软雅黑" w:hAnsi="微软雅黑" w:hint="eastAsia"/>
          <w:color w:val="333333"/>
          <w:shd w:val="clear" w:color="auto" w:fill="FFFFFF"/>
        </w:rPr>
        <w:t>GB/T89</w:t>
      </w:r>
      <w:r>
        <w:rPr>
          <w:rFonts w:ascii="微软雅黑" w:eastAsia="微软雅黑" w:hAnsi="微软雅黑"/>
          <w:color w:val="333333"/>
          <w:shd w:val="clear" w:color="auto" w:fill="FFFFFF"/>
        </w:rPr>
        <w:t>79</w:t>
      </w:r>
      <w:r>
        <w:rPr>
          <w:rFonts w:ascii="微软雅黑" w:eastAsia="微软雅黑" w:hAnsi="微软雅黑" w:hint="eastAsia"/>
          <w:color w:val="333333"/>
          <w:shd w:val="clear" w:color="auto" w:fill="FFFFFF"/>
        </w:rPr>
        <w:t>-</w:t>
      </w:r>
      <w:r>
        <w:rPr>
          <w:rFonts w:ascii="微软雅黑" w:eastAsia="微软雅黑" w:hAnsi="微软雅黑"/>
          <w:color w:val="333333"/>
          <w:shd w:val="clear" w:color="auto" w:fill="FFFFFF"/>
        </w:rPr>
        <w:t>2008</w:t>
      </w:r>
      <w:r w:rsidRPr="00743CBE">
        <w:rPr>
          <w:rFonts w:ascii="宋体" w:hAnsi="宋体"/>
          <w:sz w:val="24"/>
        </w:rPr>
        <w:t>标</w:t>
      </w:r>
      <w:r w:rsidRPr="00F20C9D">
        <w:rPr>
          <w:rFonts w:ascii="宋体" w:hAnsi="宋体" w:hint="eastAsia"/>
          <w:sz w:val="24"/>
        </w:rPr>
        <w:t>准</w:t>
      </w:r>
      <w:r>
        <w:rPr>
          <w:rFonts w:ascii="宋体" w:hAnsi="宋体" w:hint="eastAsia"/>
          <w:sz w:val="24"/>
        </w:rPr>
        <w:t>的要求</w:t>
      </w:r>
      <w:r w:rsidRPr="00F20C9D">
        <w:rPr>
          <w:rFonts w:ascii="宋体" w:hAnsi="宋体" w:hint="eastAsia"/>
          <w:sz w:val="24"/>
        </w:rPr>
        <w:t>。</w:t>
      </w:r>
    </w:p>
    <w:p w:rsidR="00E73863" w:rsidRDefault="00E73863" w:rsidP="00E73863">
      <w:pPr>
        <w:numPr>
          <w:ilvl w:val="0"/>
          <w:numId w:val="2"/>
        </w:numPr>
        <w:spacing w:line="360" w:lineRule="auto"/>
        <w:rPr>
          <w:rFonts w:ascii="宋体" w:hAnsi="宋体"/>
          <w:sz w:val="24"/>
        </w:rPr>
      </w:pPr>
      <w:r>
        <w:rPr>
          <w:rFonts w:ascii="宋体" w:hAnsi="宋体" w:hint="eastAsia"/>
          <w:sz w:val="24"/>
        </w:rPr>
        <w:t>供应商应具有技术和能力保证将液氮充装到甲方指定的液氮罐。</w:t>
      </w:r>
    </w:p>
    <w:p w:rsidR="00E73863" w:rsidRPr="00F20C9D" w:rsidRDefault="00E73863" w:rsidP="00E73863">
      <w:pPr>
        <w:numPr>
          <w:ilvl w:val="0"/>
          <w:numId w:val="2"/>
        </w:numPr>
        <w:spacing w:line="360" w:lineRule="auto"/>
        <w:rPr>
          <w:rFonts w:ascii="宋体" w:hAnsi="宋体"/>
          <w:sz w:val="24"/>
        </w:rPr>
      </w:pPr>
      <w:r w:rsidRPr="00F20C9D">
        <w:rPr>
          <w:rFonts w:ascii="宋体" w:hAnsi="宋体" w:hint="eastAsia"/>
          <w:sz w:val="24"/>
        </w:rPr>
        <w:t>供应</w:t>
      </w:r>
      <w:r>
        <w:rPr>
          <w:rFonts w:ascii="宋体" w:hAnsi="宋体" w:hint="eastAsia"/>
          <w:sz w:val="24"/>
        </w:rPr>
        <w:t>商应提供充</w:t>
      </w:r>
      <w:r w:rsidRPr="00F20C9D">
        <w:rPr>
          <w:rFonts w:ascii="宋体" w:hAnsi="宋体" w:hint="eastAsia"/>
          <w:sz w:val="24"/>
        </w:rPr>
        <w:t>装</w:t>
      </w:r>
      <w:r>
        <w:rPr>
          <w:rFonts w:ascii="宋体" w:hAnsi="宋体" w:hint="eastAsia"/>
          <w:sz w:val="24"/>
        </w:rPr>
        <w:t>液氮的必要的</w:t>
      </w:r>
      <w:r w:rsidRPr="00F20C9D">
        <w:rPr>
          <w:rFonts w:ascii="宋体" w:hAnsi="宋体" w:hint="eastAsia"/>
          <w:sz w:val="24"/>
        </w:rPr>
        <w:t>转</w:t>
      </w:r>
      <w:r>
        <w:rPr>
          <w:rFonts w:ascii="宋体" w:hAnsi="宋体" w:hint="eastAsia"/>
          <w:sz w:val="24"/>
        </w:rPr>
        <w:t>接装置</w:t>
      </w:r>
      <w:r w:rsidRPr="00F20C9D">
        <w:rPr>
          <w:rFonts w:ascii="宋体" w:hAnsi="宋体" w:hint="eastAsia"/>
          <w:sz w:val="24"/>
        </w:rPr>
        <w:t>；</w:t>
      </w:r>
    </w:p>
    <w:p w:rsidR="00E73863" w:rsidRDefault="00E73863" w:rsidP="00E73863">
      <w:pPr>
        <w:numPr>
          <w:ilvl w:val="0"/>
          <w:numId w:val="2"/>
        </w:numPr>
        <w:spacing w:line="360" w:lineRule="auto"/>
        <w:rPr>
          <w:rFonts w:ascii="宋体" w:hAnsi="宋体"/>
          <w:sz w:val="24"/>
        </w:rPr>
      </w:pPr>
      <w:r>
        <w:rPr>
          <w:rFonts w:ascii="宋体" w:hAnsi="宋体" w:hint="eastAsia"/>
          <w:sz w:val="24"/>
        </w:rPr>
        <w:t>供应商应具备</w:t>
      </w:r>
      <w:proofErr w:type="gramStart"/>
      <w:r>
        <w:rPr>
          <w:rFonts w:ascii="宋体" w:hAnsi="宋体" w:hint="eastAsia"/>
          <w:sz w:val="24"/>
        </w:rPr>
        <w:t>危化品</w:t>
      </w:r>
      <w:proofErr w:type="gramEnd"/>
      <w:r>
        <w:rPr>
          <w:rFonts w:ascii="宋体" w:hAnsi="宋体" w:hint="eastAsia"/>
          <w:sz w:val="24"/>
        </w:rPr>
        <w:t>经营许可证且经营范围内包含液氮产品；</w:t>
      </w:r>
    </w:p>
    <w:p w:rsidR="00E73863" w:rsidRDefault="00E73863" w:rsidP="00E73863">
      <w:pPr>
        <w:numPr>
          <w:ilvl w:val="0"/>
          <w:numId w:val="2"/>
        </w:numPr>
        <w:spacing w:line="360" w:lineRule="auto"/>
        <w:rPr>
          <w:rFonts w:ascii="宋体" w:hAnsi="宋体"/>
          <w:sz w:val="24"/>
        </w:rPr>
      </w:pPr>
      <w:r>
        <w:rPr>
          <w:rFonts w:ascii="宋体" w:hAnsi="宋体" w:hint="eastAsia"/>
          <w:sz w:val="24"/>
        </w:rPr>
        <w:t>供货商应制订完备</w:t>
      </w:r>
      <w:proofErr w:type="gramStart"/>
      <w:r>
        <w:rPr>
          <w:rFonts w:ascii="宋体" w:hAnsi="宋体" w:hint="eastAsia"/>
          <w:sz w:val="24"/>
        </w:rPr>
        <w:t>的供氮应急</w:t>
      </w:r>
      <w:proofErr w:type="gramEnd"/>
      <w:r>
        <w:rPr>
          <w:rFonts w:ascii="宋体" w:hAnsi="宋体" w:hint="eastAsia"/>
          <w:sz w:val="24"/>
        </w:rPr>
        <w:t>预案，包括重大节日的交通管制、极端天气、生产设备检修和故障等情况。</w:t>
      </w:r>
    </w:p>
    <w:p w:rsidR="00E73863" w:rsidRPr="00F20C9D" w:rsidRDefault="00E73863" w:rsidP="00E73863">
      <w:pPr>
        <w:spacing w:line="360" w:lineRule="auto"/>
        <w:jc w:val="left"/>
        <w:rPr>
          <w:rFonts w:ascii="宋体" w:hAnsi="宋体"/>
          <w:b/>
          <w:sz w:val="28"/>
        </w:rPr>
      </w:pPr>
      <w:bookmarkStart w:id="1" w:name="_Toc376165336"/>
      <w:bookmarkStart w:id="2" w:name="_Toc456023774"/>
      <w:bookmarkStart w:id="3" w:name="_Toc456081174"/>
      <w:r w:rsidRPr="00F20C9D">
        <w:rPr>
          <w:rFonts w:ascii="宋体" w:hAnsi="宋体" w:hint="eastAsia"/>
          <w:b/>
          <w:sz w:val="28"/>
        </w:rPr>
        <w:t>二、项目保证</w:t>
      </w:r>
      <w:bookmarkEnd w:id="1"/>
      <w:bookmarkEnd w:id="2"/>
      <w:bookmarkEnd w:id="3"/>
    </w:p>
    <w:p w:rsidR="00E73863" w:rsidRPr="00EE61DD" w:rsidRDefault="00E73863" w:rsidP="00E73863">
      <w:pPr>
        <w:spacing w:line="360" w:lineRule="auto"/>
        <w:rPr>
          <w:rFonts w:ascii="宋体" w:hAnsi="宋体" w:cs="宋体"/>
          <w:b/>
          <w:bCs/>
          <w:sz w:val="24"/>
          <w:szCs w:val="24"/>
        </w:rPr>
      </w:pPr>
      <w:bookmarkStart w:id="4" w:name="_Toc376165337"/>
      <w:r w:rsidRPr="00EE61DD">
        <w:rPr>
          <w:rFonts w:ascii="宋体" w:hAnsi="宋体" w:cs="宋体" w:hint="eastAsia"/>
          <w:b/>
          <w:bCs/>
          <w:sz w:val="24"/>
          <w:szCs w:val="24"/>
        </w:rPr>
        <w:t>1</w:t>
      </w:r>
      <w:r w:rsidRPr="00EE61DD">
        <w:rPr>
          <w:rFonts w:ascii="宋体" w:hAnsi="宋体" w:cs="宋体"/>
          <w:b/>
          <w:bCs/>
          <w:sz w:val="24"/>
          <w:szCs w:val="24"/>
        </w:rPr>
        <w:t>.</w:t>
      </w:r>
      <w:r w:rsidRPr="00EE61DD">
        <w:rPr>
          <w:rFonts w:ascii="宋体" w:hAnsi="宋体" w:cs="宋体" w:hint="eastAsia"/>
          <w:b/>
          <w:bCs/>
          <w:sz w:val="24"/>
          <w:szCs w:val="24"/>
        </w:rPr>
        <w:t>组织保证</w:t>
      </w:r>
      <w:bookmarkEnd w:id="4"/>
    </w:p>
    <w:p w:rsidR="00E73863" w:rsidRPr="009F1610" w:rsidRDefault="00E73863" w:rsidP="00E73863">
      <w:pPr>
        <w:spacing w:line="360" w:lineRule="auto"/>
        <w:ind w:firstLineChars="200" w:firstLine="480"/>
        <w:rPr>
          <w:rFonts w:ascii="宋体" w:hAnsi="宋体"/>
          <w:sz w:val="24"/>
        </w:rPr>
      </w:pPr>
      <w:r w:rsidRPr="009F1610">
        <w:rPr>
          <w:rFonts w:ascii="宋体" w:hAnsi="宋体" w:hint="eastAsia"/>
          <w:sz w:val="24"/>
        </w:rPr>
        <w:t>投标人应标时，必须向招标人提供拟派参加本项目的主要人员名单以及各自职责的划分。投标人必须向招标人保证中标后项目人员的稳定性，在本项目结束前，参加本项目的人员变动必须取得招标人同意。</w:t>
      </w:r>
    </w:p>
    <w:p w:rsidR="00E73863" w:rsidRPr="009F1610" w:rsidRDefault="00E73863" w:rsidP="00E73863">
      <w:pPr>
        <w:spacing w:line="360" w:lineRule="auto"/>
        <w:ind w:firstLineChars="200" w:firstLine="480"/>
        <w:rPr>
          <w:rFonts w:ascii="宋体" w:hAnsi="宋体"/>
          <w:sz w:val="24"/>
        </w:rPr>
      </w:pPr>
      <w:r w:rsidRPr="009F1610">
        <w:rPr>
          <w:rFonts w:ascii="宋体" w:hAnsi="宋体" w:hint="eastAsia"/>
          <w:sz w:val="24"/>
        </w:rPr>
        <w:t>投标人应按照项目的需求建立完善的项目组织机构，进行相关的项目管控和随时调整项目实施方向。</w:t>
      </w:r>
    </w:p>
    <w:p w:rsidR="00E73863" w:rsidRPr="00EE61DD" w:rsidRDefault="00E73863" w:rsidP="00E73863">
      <w:pPr>
        <w:spacing w:line="360" w:lineRule="auto"/>
        <w:rPr>
          <w:rFonts w:ascii="宋体" w:hAnsi="宋体" w:cs="宋体"/>
          <w:b/>
          <w:bCs/>
          <w:sz w:val="24"/>
          <w:szCs w:val="24"/>
        </w:rPr>
      </w:pPr>
      <w:bookmarkStart w:id="5" w:name="_Toc376165338"/>
      <w:r w:rsidRPr="00EE61DD">
        <w:rPr>
          <w:rFonts w:ascii="宋体" w:hAnsi="宋体" w:cs="宋体" w:hint="eastAsia"/>
          <w:b/>
          <w:bCs/>
          <w:sz w:val="24"/>
          <w:szCs w:val="24"/>
        </w:rPr>
        <w:t>2</w:t>
      </w:r>
      <w:r w:rsidRPr="00EE61DD">
        <w:rPr>
          <w:rFonts w:ascii="宋体" w:hAnsi="宋体" w:cs="宋体"/>
          <w:b/>
          <w:bCs/>
          <w:sz w:val="24"/>
          <w:szCs w:val="24"/>
        </w:rPr>
        <w:t>.</w:t>
      </w:r>
      <w:r w:rsidRPr="00EE61DD">
        <w:rPr>
          <w:rFonts w:ascii="宋体" w:hAnsi="宋体" w:cs="宋体" w:hint="eastAsia"/>
          <w:b/>
          <w:bCs/>
          <w:sz w:val="24"/>
          <w:szCs w:val="24"/>
        </w:rPr>
        <w:t>工期保证</w:t>
      </w:r>
      <w:bookmarkEnd w:id="5"/>
    </w:p>
    <w:p w:rsidR="00E73863" w:rsidRPr="00F20C9D" w:rsidRDefault="00E73863" w:rsidP="00E73863">
      <w:pPr>
        <w:pStyle w:val="5"/>
        <w:ind w:firstLine="480"/>
        <w:rPr>
          <w:rFonts w:ascii="宋体" w:hAnsi="宋体"/>
          <w:szCs w:val="20"/>
        </w:rPr>
      </w:pPr>
      <w:r w:rsidRPr="00F20C9D">
        <w:rPr>
          <w:rFonts w:ascii="宋体" w:hAnsi="宋体" w:hint="eastAsia"/>
          <w:szCs w:val="20"/>
        </w:rPr>
        <w:t>本项目应在自合同签订之日起一个月内能开始供应液氮。</w:t>
      </w:r>
    </w:p>
    <w:p w:rsidR="00E73863" w:rsidRPr="00EE61DD" w:rsidRDefault="00E73863" w:rsidP="00E73863">
      <w:pPr>
        <w:spacing w:line="360" w:lineRule="auto"/>
        <w:rPr>
          <w:rFonts w:ascii="宋体" w:hAnsi="宋体" w:cs="宋体"/>
          <w:b/>
          <w:bCs/>
          <w:sz w:val="24"/>
          <w:szCs w:val="24"/>
        </w:rPr>
      </w:pPr>
      <w:r w:rsidRPr="00EE61DD">
        <w:rPr>
          <w:rFonts w:ascii="宋体" w:hAnsi="宋体" w:cs="宋体" w:hint="eastAsia"/>
          <w:b/>
          <w:bCs/>
          <w:sz w:val="24"/>
          <w:szCs w:val="24"/>
        </w:rPr>
        <w:t>3</w:t>
      </w:r>
      <w:r w:rsidRPr="00EE61DD">
        <w:rPr>
          <w:rFonts w:ascii="宋体" w:hAnsi="宋体" w:cs="宋体"/>
          <w:b/>
          <w:bCs/>
          <w:sz w:val="24"/>
          <w:szCs w:val="24"/>
        </w:rPr>
        <w:t>.</w:t>
      </w:r>
      <w:r w:rsidRPr="00EE61DD">
        <w:rPr>
          <w:rFonts w:ascii="宋体" w:hAnsi="宋体" w:cs="宋体" w:hint="eastAsia"/>
          <w:b/>
          <w:bCs/>
          <w:sz w:val="24"/>
          <w:szCs w:val="24"/>
        </w:rPr>
        <w:t>中标人的项目进度管理应至少包含以下内容：</w:t>
      </w:r>
    </w:p>
    <w:p w:rsidR="00E73863" w:rsidRPr="00F20C9D" w:rsidRDefault="00E73863" w:rsidP="00E73863">
      <w:pPr>
        <w:pStyle w:val="a5"/>
        <w:numPr>
          <w:ilvl w:val="0"/>
          <w:numId w:val="1"/>
        </w:numPr>
        <w:spacing w:line="360" w:lineRule="auto"/>
        <w:ind w:firstLineChars="0"/>
        <w:rPr>
          <w:rFonts w:ascii="宋体" w:hAnsi="宋体" w:cs="Arial"/>
          <w:sz w:val="24"/>
        </w:rPr>
      </w:pPr>
      <w:r w:rsidRPr="00F20C9D">
        <w:rPr>
          <w:rFonts w:ascii="宋体" w:hAnsi="宋体" w:cs="Arial" w:hint="eastAsia"/>
          <w:sz w:val="24"/>
        </w:rPr>
        <w:t>中标人在了解项目特点的前提下，根据工期目标，提交总体进度计划，以及定期提交阶段性工作计划。</w:t>
      </w:r>
    </w:p>
    <w:p w:rsidR="00E73863" w:rsidRDefault="00E73863" w:rsidP="00E73863">
      <w:pPr>
        <w:numPr>
          <w:ilvl w:val="0"/>
          <w:numId w:val="1"/>
        </w:numPr>
        <w:spacing w:line="360" w:lineRule="auto"/>
        <w:rPr>
          <w:rFonts w:ascii="宋体" w:hAnsi="宋体" w:cs="Arial"/>
          <w:sz w:val="24"/>
        </w:rPr>
      </w:pPr>
      <w:r w:rsidRPr="00886A62">
        <w:rPr>
          <w:rFonts w:ascii="宋体" w:hAnsi="宋体" w:cs="Arial" w:hint="eastAsia"/>
          <w:sz w:val="24"/>
        </w:rPr>
        <w:t>制定详细的项目建设进度计划，按照合同的进度计划制定具体的实施计划，</w:t>
      </w:r>
      <w:r w:rsidRPr="00886A62">
        <w:rPr>
          <w:rFonts w:ascii="宋体" w:hAnsi="宋体" w:cs="Arial" w:hint="eastAsia"/>
          <w:sz w:val="24"/>
        </w:rPr>
        <w:lastRenderedPageBreak/>
        <w:t>定期跟踪检查，对可能发生的项目延误提出相应对策；</w:t>
      </w:r>
    </w:p>
    <w:p w:rsidR="00E73863" w:rsidRDefault="00E73863" w:rsidP="00E73863">
      <w:pPr>
        <w:numPr>
          <w:ilvl w:val="0"/>
          <w:numId w:val="1"/>
        </w:numPr>
        <w:spacing w:line="360" w:lineRule="auto"/>
        <w:rPr>
          <w:rFonts w:ascii="宋体" w:hAnsi="宋体" w:cs="Arial"/>
          <w:sz w:val="24"/>
        </w:rPr>
      </w:pPr>
      <w:r w:rsidRPr="00886A62">
        <w:rPr>
          <w:rFonts w:ascii="宋体" w:hAnsi="宋体" w:cs="Arial" w:hint="eastAsia"/>
          <w:sz w:val="24"/>
        </w:rPr>
        <w:t>定期或不定期地召开或参加项目例会、协调会议等，向招标人通报项目进展情况，提交进度报告，及时解决相关问题。</w:t>
      </w:r>
    </w:p>
    <w:p w:rsidR="00E73863" w:rsidRDefault="00E73863" w:rsidP="00E73863">
      <w:pPr>
        <w:numPr>
          <w:ilvl w:val="0"/>
          <w:numId w:val="1"/>
        </w:numPr>
        <w:spacing w:line="360" w:lineRule="auto"/>
        <w:rPr>
          <w:rFonts w:ascii="宋体" w:hAnsi="宋体" w:cs="Arial"/>
          <w:sz w:val="24"/>
        </w:rPr>
      </w:pPr>
      <w:r w:rsidRPr="00886A62">
        <w:rPr>
          <w:rFonts w:ascii="宋体" w:hAnsi="宋体" w:cs="Arial" w:hint="eastAsia"/>
          <w:sz w:val="24"/>
        </w:rPr>
        <w:t>建立项目变更流程，记录项目变更。</w:t>
      </w:r>
      <w:bookmarkStart w:id="6" w:name="_Toc376165339"/>
    </w:p>
    <w:p w:rsidR="00E73863" w:rsidRPr="00CB1FA9" w:rsidRDefault="00E73863" w:rsidP="00E73863">
      <w:pPr>
        <w:numPr>
          <w:ilvl w:val="0"/>
          <w:numId w:val="1"/>
        </w:numPr>
        <w:spacing w:line="360" w:lineRule="auto"/>
        <w:rPr>
          <w:rFonts w:ascii="宋体" w:hAnsi="宋体" w:cs="Arial"/>
          <w:sz w:val="24"/>
        </w:rPr>
      </w:pPr>
      <w:r w:rsidRPr="00886A62">
        <w:rPr>
          <w:rFonts w:ascii="宋体" w:hAnsi="宋体" w:cs="Arial" w:hint="eastAsia"/>
          <w:sz w:val="24"/>
        </w:rPr>
        <w:t>实施保证</w:t>
      </w:r>
      <w:bookmarkEnd w:id="6"/>
      <w:r>
        <w:rPr>
          <w:rFonts w:ascii="宋体" w:hAnsi="宋体" w:cs="Arial" w:hint="eastAsia"/>
          <w:sz w:val="24"/>
        </w:rPr>
        <w:t>：</w:t>
      </w:r>
      <w:r w:rsidRPr="00CB1FA9">
        <w:rPr>
          <w:rFonts w:ascii="宋体" w:hAnsi="宋体" w:hint="eastAsia"/>
          <w:sz w:val="24"/>
        </w:rPr>
        <w:t>项目在实施前，中标方有义务与用户一起进行实施前的进一步需求调查和确认，如调查结果与原招标文件及供应商报价文件的响应有出入，在实施时以用户确认的补充或更正为准。项目实施前中标方应提供项目实施进度计划表，并与用户进行沟通并确认。系统实施过程中，供方应负责对系统支撑环境的整体集成，调试系统并解决相关问题。</w:t>
      </w:r>
    </w:p>
    <w:p w:rsidR="00E73863" w:rsidRPr="00EE61DD" w:rsidRDefault="00E73863" w:rsidP="00E73863">
      <w:pPr>
        <w:spacing w:line="360" w:lineRule="auto"/>
        <w:rPr>
          <w:rFonts w:ascii="宋体" w:hAnsi="宋体" w:cs="宋体"/>
          <w:b/>
          <w:bCs/>
          <w:sz w:val="24"/>
          <w:szCs w:val="24"/>
        </w:rPr>
      </w:pPr>
      <w:bookmarkStart w:id="7" w:name="_Toc376165340"/>
      <w:r w:rsidRPr="00EE61DD">
        <w:rPr>
          <w:rFonts w:ascii="宋体" w:hAnsi="宋体" w:cs="宋体" w:hint="eastAsia"/>
          <w:b/>
          <w:bCs/>
          <w:sz w:val="24"/>
          <w:szCs w:val="24"/>
        </w:rPr>
        <w:t>4</w:t>
      </w:r>
      <w:r w:rsidRPr="00EE61DD">
        <w:rPr>
          <w:rFonts w:ascii="宋体" w:hAnsi="宋体" w:cs="宋体"/>
          <w:b/>
          <w:bCs/>
          <w:sz w:val="24"/>
          <w:szCs w:val="24"/>
        </w:rPr>
        <w:t>.</w:t>
      </w:r>
      <w:r w:rsidRPr="00EE61DD">
        <w:rPr>
          <w:rFonts w:ascii="宋体" w:hAnsi="宋体" w:cs="宋体" w:hint="eastAsia"/>
          <w:b/>
          <w:bCs/>
          <w:sz w:val="24"/>
          <w:szCs w:val="24"/>
        </w:rPr>
        <w:t>质量保证</w:t>
      </w:r>
      <w:bookmarkEnd w:id="7"/>
    </w:p>
    <w:p w:rsidR="00E73863" w:rsidRPr="00500DB9" w:rsidRDefault="00E73863" w:rsidP="00E73863">
      <w:pPr>
        <w:spacing w:line="360" w:lineRule="auto"/>
        <w:ind w:firstLineChars="200" w:firstLine="480"/>
        <w:rPr>
          <w:rFonts w:ascii="宋体" w:hAnsi="宋体"/>
          <w:sz w:val="24"/>
        </w:rPr>
      </w:pPr>
      <w:r w:rsidRPr="00500DB9">
        <w:rPr>
          <w:rFonts w:ascii="宋体" w:hAnsi="宋体" w:hint="eastAsia"/>
          <w:sz w:val="24"/>
        </w:rPr>
        <w:t>投标人应建立严格的质量保证体系，制定项目建设的质量控制方案和实施措施，并督促落实各环节质量控制内容和目标，保证项目各个阶段工作满足招标人对质量的要求。</w:t>
      </w:r>
    </w:p>
    <w:p w:rsidR="00E73863" w:rsidRPr="00500DB9" w:rsidRDefault="00E73863" w:rsidP="00E73863">
      <w:pPr>
        <w:spacing w:line="360" w:lineRule="auto"/>
        <w:ind w:firstLineChars="200" w:firstLine="480"/>
        <w:rPr>
          <w:rFonts w:ascii="宋体" w:hAnsi="宋体"/>
          <w:sz w:val="24"/>
        </w:rPr>
      </w:pPr>
      <w:r w:rsidRPr="00500DB9">
        <w:rPr>
          <w:rFonts w:ascii="宋体" w:hAnsi="宋体" w:hint="eastAsia"/>
          <w:sz w:val="24"/>
        </w:rPr>
        <w:t>投标人应根据项目的工作计划，对阶段性工作成果进行审查和测试，并向项目单位提交工作成果。通过保证各阶段性成果的质量，最终保证整个项目的质量。</w:t>
      </w:r>
    </w:p>
    <w:p w:rsidR="00E73863" w:rsidRPr="00EE61DD" w:rsidRDefault="00E73863" w:rsidP="00E73863">
      <w:pPr>
        <w:spacing w:line="360" w:lineRule="auto"/>
        <w:rPr>
          <w:rFonts w:ascii="宋体" w:hAnsi="宋体" w:cs="宋体"/>
          <w:b/>
          <w:bCs/>
          <w:sz w:val="24"/>
          <w:szCs w:val="24"/>
        </w:rPr>
      </w:pPr>
      <w:bookmarkStart w:id="8" w:name="_Toc376165341"/>
      <w:r w:rsidRPr="00EE61DD">
        <w:rPr>
          <w:rFonts w:ascii="宋体" w:hAnsi="宋体" w:cs="宋体" w:hint="eastAsia"/>
          <w:b/>
          <w:bCs/>
          <w:sz w:val="24"/>
          <w:szCs w:val="24"/>
        </w:rPr>
        <w:t>5</w:t>
      </w:r>
      <w:r w:rsidRPr="00EE61DD">
        <w:rPr>
          <w:rFonts w:ascii="宋体" w:hAnsi="宋体" w:cs="宋体"/>
          <w:b/>
          <w:bCs/>
          <w:sz w:val="24"/>
          <w:szCs w:val="24"/>
        </w:rPr>
        <w:t>.</w:t>
      </w:r>
      <w:r w:rsidRPr="00EE61DD">
        <w:rPr>
          <w:rFonts w:ascii="宋体" w:hAnsi="宋体" w:cs="宋体" w:hint="eastAsia"/>
          <w:b/>
          <w:bCs/>
          <w:sz w:val="24"/>
          <w:szCs w:val="24"/>
        </w:rPr>
        <w:t>安全保密</w:t>
      </w:r>
      <w:bookmarkEnd w:id="8"/>
    </w:p>
    <w:p w:rsidR="00E73863" w:rsidRPr="00DA26D1" w:rsidRDefault="00E73863" w:rsidP="00E73863">
      <w:pPr>
        <w:spacing w:line="360" w:lineRule="auto"/>
        <w:ind w:firstLineChars="200" w:firstLine="480"/>
        <w:rPr>
          <w:rFonts w:ascii="宋体" w:hAnsi="宋体"/>
          <w:sz w:val="24"/>
        </w:rPr>
      </w:pPr>
      <w:r w:rsidRPr="00DA26D1">
        <w:rPr>
          <w:rFonts w:ascii="宋体" w:hAnsi="宋体" w:hint="eastAsia"/>
          <w:sz w:val="24"/>
        </w:rPr>
        <w:t>严格遵守合同规定，执行国家《保密法》及有关保密的法律法规，选派具有良好职业道德的人员参与和从事本项目工作，教育相关人员恪守职业道德，服从甲方的管理，严格遵守甲方的保密规定和工作制度，并承担相应的保密责任。</w:t>
      </w:r>
    </w:p>
    <w:p w:rsidR="00E73863" w:rsidRPr="00DA26D1" w:rsidRDefault="00E73863" w:rsidP="00E73863">
      <w:pPr>
        <w:spacing w:line="360" w:lineRule="auto"/>
        <w:ind w:firstLineChars="200" w:firstLine="480"/>
        <w:rPr>
          <w:rFonts w:ascii="宋体" w:hAnsi="宋体"/>
          <w:sz w:val="24"/>
        </w:rPr>
      </w:pPr>
      <w:r w:rsidRPr="00DA26D1">
        <w:rPr>
          <w:rFonts w:ascii="宋体" w:hAnsi="宋体" w:hint="eastAsia"/>
          <w:sz w:val="24"/>
        </w:rPr>
        <w:t>所有参与本项目的服务人员，都必须签订《保密承诺书》。乙方负责对《保密承诺书》归档保管，接受甲方检查。乙方要对承诺履行情况负有监督责任，一经发现违反承诺情况，要及时向甲方报告。</w:t>
      </w:r>
    </w:p>
    <w:p w:rsidR="00E73863" w:rsidRDefault="00E73863" w:rsidP="00E73863">
      <w:pPr>
        <w:spacing w:line="360" w:lineRule="auto"/>
        <w:ind w:firstLineChars="200" w:firstLine="480"/>
        <w:rPr>
          <w:rFonts w:ascii="宋体" w:hAnsi="宋体"/>
          <w:sz w:val="24"/>
        </w:rPr>
      </w:pPr>
      <w:r w:rsidRPr="00DA26D1">
        <w:rPr>
          <w:rFonts w:ascii="宋体" w:hAnsi="宋体" w:hint="eastAsia"/>
          <w:sz w:val="24"/>
        </w:rPr>
        <w:t>乙方自觉接受甲方的安全保密监督和管理，乙方如违反安全保密条款，甲方将追究其责任，对重大的泄密事件将移交司法部门追究其法律责任；对乙方泄露系统资料，造成伤害的，除依据有关规定追究有关责任人员法律责任外，还将依法承担相应的民事责任。</w:t>
      </w:r>
    </w:p>
    <w:p w:rsidR="00E73863" w:rsidRPr="00FC1B77" w:rsidRDefault="00E73863" w:rsidP="00E73863">
      <w:pPr>
        <w:spacing w:line="360" w:lineRule="auto"/>
        <w:rPr>
          <w:rFonts w:ascii="宋体" w:hAnsi="宋体"/>
          <w:b/>
          <w:sz w:val="28"/>
        </w:rPr>
      </w:pPr>
      <w:r w:rsidRPr="00FC1B77">
        <w:rPr>
          <w:rFonts w:ascii="宋体" w:hAnsi="宋体"/>
          <w:b/>
          <w:sz w:val="28"/>
        </w:rPr>
        <w:t>三</w:t>
      </w:r>
      <w:r w:rsidRPr="00FC1B77">
        <w:rPr>
          <w:rFonts w:ascii="宋体" w:hAnsi="宋体" w:hint="eastAsia"/>
          <w:b/>
          <w:sz w:val="28"/>
        </w:rPr>
        <w:t>、</w:t>
      </w:r>
      <w:r w:rsidRPr="00FC1B77">
        <w:rPr>
          <w:rFonts w:ascii="宋体" w:hAnsi="宋体"/>
          <w:b/>
          <w:sz w:val="28"/>
        </w:rPr>
        <w:t>服务期限</w:t>
      </w:r>
    </w:p>
    <w:p w:rsidR="00E73863" w:rsidRPr="001A6FB8" w:rsidRDefault="00E73863" w:rsidP="00E73863">
      <w:pPr>
        <w:spacing w:line="360" w:lineRule="auto"/>
        <w:ind w:firstLineChars="200" w:firstLine="480"/>
        <w:rPr>
          <w:rFonts w:ascii="宋体" w:hAnsi="宋体"/>
          <w:sz w:val="24"/>
        </w:rPr>
      </w:pPr>
      <w:bookmarkStart w:id="9" w:name="_Toc376165342"/>
      <w:bookmarkStart w:id="10" w:name="_Toc456023775"/>
      <w:bookmarkStart w:id="11" w:name="_Toc456081175"/>
      <w:r w:rsidRPr="001A6FB8">
        <w:rPr>
          <w:rFonts w:ascii="宋体" w:hAnsi="宋体" w:hint="eastAsia"/>
          <w:sz w:val="24"/>
        </w:rPr>
        <w:t>服务协议签订后两年</w:t>
      </w:r>
      <w:r>
        <w:rPr>
          <w:rFonts w:ascii="宋体" w:hAnsi="宋体" w:hint="eastAsia"/>
          <w:sz w:val="24"/>
        </w:rPr>
        <w:t>。</w:t>
      </w:r>
    </w:p>
    <w:p w:rsidR="00E73863" w:rsidRPr="00EE61DD" w:rsidRDefault="00E73863" w:rsidP="00E73863">
      <w:pPr>
        <w:spacing w:line="360" w:lineRule="auto"/>
        <w:rPr>
          <w:rFonts w:ascii="宋体" w:hAnsi="宋体"/>
          <w:b/>
          <w:sz w:val="28"/>
        </w:rPr>
      </w:pPr>
      <w:r>
        <w:rPr>
          <w:rFonts w:ascii="宋体" w:hAnsi="宋体" w:hint="eastAsia"/>
          <w:b/>
          <w:sz w:val="28"/>
        </w:rPr>
        <w:t>四</w:t>
      </w:r>
      <w:r w:rsidRPr="00EE61DD">
        <w:rPr>
          <w:rFonts w:ascii="宋体" w:hAnsi="宋体" w:hint="eastAsia"/>
          <w:b/>
          <w:sz w:val="28"/>
        </w:rPr>
        <w:t>、售后服务要求</w:t>
      </w:r>
      <w:bookmarkEnd w:id="9"/>
      <w:bookmarkEnd w:id="10"/>
      <w:bookmarkEnd w:id="11"/>
    </w:p>
    <w:p w:rsidR="00E73863" w:rsidRDefault="00E73863" w:rsidP="00E73863">
      <w:pPr>
        <w:spacing w:line="360" w:lineRule="auto"/>
        <w:ind w:firstLine="570"/>
        <w:rPr>
          <w:rFonts w:ascii="宋体" w:hAnsi="宋体" w:cs="宋体"/>
          <w:b/>
          <w:sz w:val="28"/>
          <w:szCs w:val="28"/>
          <w:lang w:val="zh-CN"/>
        </w:rPr>
      </w:pPr>
      <w:r w:rsidRPr="0034160E">
        <w:rPr>
          <w:rFonts w:ascii="宋体" w:hAnsi="宋体" w:hint="eastAsia"/>
          <w:sz w:val="24"/>
        </w:rPr>
        <w:lastRenderedPageBreak/>
        <w:t>出现紧急问题，乙方需在2小时内给予电话反馈，在6小时内到现场解决问题。</w:t>
      </w:r>
      <w:r>
        <w:rPr>
          <w:rFonts w:ascii="宋体" w:hAnsi="宋体" w:cs="宋体" w:hint="eastAsia"/>
          <w:b/>
          <w:sz w:val="28"/>
          <w:szCs w:val="28"/>
          <w:lang w:val="zh-CN"/>
        </w:rPr>
        <w:t xml:space="preserve"> </w:t>
      </w:r>
    </w:p>
    <w:p w:rsidR="00E73863" w:rsidRDefault="00E73863" w:rsidP="00E73863">
      <w:pPr>
        <w:ind w:firstLine="570"/>
        <w:rPr>
          <w:rFonts w:ascii="宋体" w:hAnsi="宋体" w:cs="宋体"/>
          <w:b/>
          <w:sz w:val="28"/>
          <w:szCs w:val="28"/>
          <w:lang w:val="zh-CN"/>
        </w:rPr>
      </w:pPr>
    </w:p>
    <w:p w:rsidR="00E57A85" w:rsidRDefault="00E57A85"/>
    <w:sectPr w:rsidR="00E57A85" w:rsidSect="00E57A8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46BE" w:rsidRDefault="005046BE" w:rsidP="00E73863">
      <w:r>
        <w:separator/>
      </w:r>
    </w:p>
  </w:endnote>
  <w:endnote w:type="continuationSeparator" w:id="0">
    <w:p w:rsidR="005046BE" w:rsidRDefault="005046BE" w:rsidP="00E738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微软雅黑">
    <w:panose1 w:val="020B0503020204020204"/>
    <w:charset w:val="86"/>
    <w:family w:val="swiss"/>
    <w:pitch w:val="variable"/>
    <w:sig w:usb0="80000287" w:usb1="2A0F3C52" w:usb2="00000016" w:usb3="00000000" w:csb0="0004001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46BE" w:rsidRDefault="005046BE" w:rsidP="00E73863">
      <w:r>
        <w:separator/>
      </w:r>
    </w:p>
  </w:footnote>
  <w:footnote w:type="continuationSeparator" w:id="0">
    <w:p w:rsidR="005046BE" w:rsidRDefault="005046BE" w:rsidP="00E7386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5964CCC2"/>
    <w:lvl w:ilvl="0">
      <w:start w:val="1"/>
      <w:numFmt w:val="decimal"/>
      <w:lvlText w:val="%1)"/>
      <w:lvlJc w:val="left"/>
      <w:pPr>
        <w:tabs>
          <w:tab w:val="left" w:pos="927"/>
        </w:tabs>
        <w:ind w:left="927" w:hanging="360"/>
      </w:pPr>
      <w:rPr>
        <w:rFonts w:hint="default"/>
      </w:rPr>
    </w:lvl>
    <w:lvl w:ilvl="1">
      <w:start w:val="1"/>
      <w:numFmt w:val="lowerLetter"/>
      <w:lvlText w:val="%2)"/>
      <w:lvlJc w:val="left"/>
      <w:pPr>
        <w:tabs>
          <w:tab w:val="left" w:pos="1124"/>
        </w:tabs>
        <w:ind w:left="1124" w:hanging="420"/>
      </w:pPr>
      <w:rPr>
        <w:rFonts w:cs="Times New Roman"/>
      </w:rPr>
    </w:lvl>
    <w:lvl w:ilvl="2">
      <w:start w:val="1"/>
      <w:numFmt w:val="lowerRoman"/>
      <w:lvlText w:val="%3."/>
      <w:lvlJc w:val="right"/>
      <w:pPr>
        <w:tabs>
          <w:tab w:val="left" w:pos="1544"/>
        </w:tabs>
        <w:ind w:left="1544" w:hanging="420"/>
      </w:pPr>
      <w:rPr>
        <w:rFonts w:cs="Times New Roman"/>
      </w:rPr>
    </w:lvl>
    <w:lvl w:ilvl="3">
      <w:start w:val="1"/>
      <w:numFmt w:val="decimal"/>
      <w:lvlText w:val="%4."/>
      <w:lvlJc w:val="left"/>
      <w:pPr>
        <w:tabs>
          <w:tab w:val="left" w:pos="1964"/>
        </w:tabs>
        <w:ind w:left="1964" w:hanging="420"/>
      </w:pPr>
      <w:rPr>
        <w:rFonts w:cs="Times New Roman"/>
      </w:rPr>
    </w:lvl>
    <w:lvl w:ilvl="4">
      <w:start w:val="1"/>
      <w:numFmt w:val="lowerLetter"/>
      <w:lvlText w:val="%5)"/>
      <w:lvlJc w:val="left"/>
      <w:pPr>
        <w:tabs>
          <w:tab w:val="left" w:pos="2384"/>
        </w:tabs>
        <w:ind w:left="2384" w:hanging="420"/>
      </w:pPr>
      <w:rPr>
        <w:rFonts w:cs="Times New Roman"/>
      </w:rPr>
    </w:lvl>
    <w:lvl w:ilvl="5">
      <w:start w:val="1"/>
      <w:numFmt w:val="lowerRoman"/>
      <w:lvlText w:val="%6."/>
      <w:lvlJc w:val="right"/>
      <w:pPr>
        <w:tabs>
          <w:tab w:val="left" w:pos="2804"/>
        </w:tabs>
        <w:ind w:left="2804" w:hanging="420"/>
      </w:pPr>
      <w:rPr>
        <w:rFonts w:cs="Times New Roman"/>
      </w:rPr>
    </w:lvl>
    <w:lvl w:ilvl="6">
      <w:start w:val="1"/>
      <w:numFmt w:val="decimal"/>
      <w:lvlText w:val="%7."/>
      <w:lvlJc w:val="left"/>
      <w:pPr>
        <w:tabs>
          <w:tab w:val="left" w:pos="3224"/>
        </w:tabs>
        <w:ind w:left="3224" w:hanging="420"/>
      </w:pPr>
      <w:rPr>
        <w:rFonts w:cs="Times New Roman"/>
      </w:rPr>
    </w:lvl>
    <w:lvl w:ilvl="7">
      <w:start w:val="1"/>
      <w:numFmt w:val="lowerLetter"/>
      <w:lvlText w:val="%8)"/>
      <w:lvlJc w:val="left"/>
      <w:pPr>
        <w:tabs>
          <w:tab w:val="left" w:pos="3644"/>
        </w:tabs>
        <w:ind w:left="3644" w:hanging="420"/>
      </w:pPr>
      <w:rPr>
        <w:rFonts w:cs="Times New Roman"/>
      </w:rPr>
    </w:lvl>
    <w:lvl w:ilvl="8">
      <w:start w:val="1"/>
      <w:numFmt w:val="lowerRoman"/>
      <w:lvlText w:val="%9."/>
      <w:lvlJc w:val="right"/>
      <w:pPr>
        <w:tabs>
          <w:tab w:val="left" w:pos="4064"/>
        </w:tabs>
        <w:ind w:left="4064" w:hanging="420"/>
      </w:pPr>
      <w:rPr>
        <w:rFonts w:cs="Times New Roman"/>
      </w:rPr>
    </w:lvl>
  </w:abstractNum>
  <w:abstractNum w:abstractNumId="1">
    <w:nsid w:val="6C2D47A7"/>
    <w:multiLevelType w:val="hybridMultilevel"/>
    <w:tmpl w:val="1E8A1698"/>
    <w:lvl w:ilvl="0" w:tplc="20360CC4">
      <w:start w:val="1"/>
      <w:numFmt w:val="decimal"/>
      <w:lvlText w:val="%1）"/>
      <w:lvlJc w:val="left"/>
      <w:pPr>
        <w:ind w:left="360" w:hanging="360"/>
      </w:pPr>
      <w:rPr>
        <w:rFonts w:ascii="宋体" w:eastAsia="宋体" w:hAnsi="宋体" w:cs="Arial"/>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73863"/>
    <w:rsid w:val="005046BE"/>
    <w:rsid w:val="00E57A85"/>
    <w:rsid w:val="00E7386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3863"/>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7386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73863"/>
    <w:rPr>
      <w:sz w:val="18"/>
      <w:szCs w:val="18"/>
    </w:rPr>
  </w:style>
  <w:style w:type="paragraph" w:styleId="a4">
    <w:name w:val="footer"/>
    <w:basedOn w:val="a"/>
    <w:link w:val="Char0"/>
    <w:uiPriority w:val="99"/>
    <w:semiHidden/>
    <w:unhideWhenUsed/>
    <w:rsid w:val="00E7386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73863"/>
    <w:rPr>
      <w:sz w:val="18"/>
      <w:szCs w:val="18"/>
    </w:rPr>
  </w:style>
  <w:style w:type="paragraph" w:styleId="a5">
    <w:name w:val="List Paragraph"/>
    <w:basedOn w:val="a"/>
    <w:link w:val="Char1"/>
    <w:uiPriority w:val="34"/>
    <w:unhideWhenUsed/>
    <w:qFormat/>
    <w:rsid w:val="00E73863"/>
    <w:pPr>
      <w:ind w:firstLineChars="200" w:firstLine="420"/>
    </w:pPr>
  </w:style>
  <w:style w:type="paragraph" w:customStyle="1" w:styleId="5">
    <w:name w:val="列出段落5"/>
    <w:basedOn w:val="a"/>
    <w:rsid w:val="00E73863"/>
    <w:pPr>
      <w:spacing w:line="360" w:lineRule="auto"/>
      <w:ind w:firstLineChars="200" w:firstLine="200"/>
    </w:pPr>
    <w:rPr>
      <w:rFonts w:ascii="Verdana" w:hAnsi="Verdana"/>
      <w:sz w:val="24"/>
      <w:szCs w:val="22"/>
    </w:rPr>
  </w:style>
  <w:style w:type="character" w:customStyle="1" w:styleId="Char1">
    <w:name w:val="列出段落 Char"/>
    <w:link w:val="a5"/>
    <w:uiPriority w:val="34"/>
    <w:rsid w:val="00E73863"/>
    <w:rPr>
      <w:rFonts w:ascii="Times New Roman" w:eastAsia="宋体" w:hAnsi="Times New Roman" w:cs="Times New Roman"/>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210</Words>
  <Characters>1200</Characters>
  <Application>Microsoft Office Word</Application>
  <DocSecurity>0</DocSecurity>
  <Lines>10</Lines>
  <Paragraphs>2</Paragraphs>
  <ScaleCrop>false</ScaleCrop>
  <Company>s</Company>
  <LinksUpToDate>false</LinksUpToDate>
  <CharactersWithSpaces>1408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c:creator>
  <cp:keywords/>
  <dc:description/>
  <cp:lastModifiedBy>s</cp:lastModifiedBy>
  <cp:revision>2</cp:revision>
  <dcterms:created xsi:type="dcterms:W3CDTF">2021-04-12T08:09:00Z</dcterms:created>
  <dcterms:modified xsi:type="dcterms:W3CDTF">2021-04-12T08:10:00Z</dcterms:modified>
</cp:coreProperties>
</file>