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7B" w:rsidRPr="000F2B22" w:rsidRDefault="00DE065E" w:rsidP="00A77457">
      <w:pPr>
        <w:spacing w:afterLines="100"/>
        <w:jc w:val="center"/>
        <w:rPr>
          <w:b/>
          <w:sz w:val="44"/>
          <w:szCs w:val="44"/>
        </w:rPr>
      </w:pPr>
      <w:r w:rsidRPr="000F2B22">
        <w:rPr>
          <w:rFonts w:hint="eastAsia"/>
          <w:b/>
          <w:sz w:val="44"/>
          <w:szCs w:val="44"/>
        </w:rPr>
        <w:t>医保</w:t>
      </w:r>
      <w:r w:rsidR="00CB19CA">
        <w:rPr>
          <w:rFonts w:hint="eastAsia"/>
          <w:b/>
          <w:sz w:val="44"/>
          <w:szCs w:val="44"/>
        </w:rPr>
        <w:t>系统维护需求说明</w:t>
      </w:r>
    </w:p>
    <w:p w:rsidR="00DE065E" w:rsidRPr="000F2B22" w:rsidRDefault="00B471EC" w:rsidP="000F2B22">
      <w:pPr>
        <w:spacing w:line="300" w:lineRule="auto"/>
        <w:ind w:firstLineChars="200" w:firstLine="560"/>
        <w:jc w:val="left"/>
        <w:rPr>
          <w:rFonts w:asciiTheme="minorEastAsia" w:hAnsiTheme="minorEastAsia"/>
          <w:sz w:val="28"/>
          <w:szCs w:val="28"/>
        </w:rPr>
      </w:pPr>
      <w:r w:rsidRPr="000F2B22">
        <w:rPr>
          <w:rFonts w:asciiTheme="minorEastAsia" w:hAnsiTheme="minorEastAsia" w:hint="eastAsia"/>
          <w:sz w:val="28"/>
          <w:szCs w:val="28"/>
        </w:rPr>
        <w:t>随着北京</w:t>
      </w:r>
      <w:proofErr w:type="gramStart"/>
      <w:r w:rsidRPr="000F2B22">
        <w:rPr>
          <w:rFonts w:asciiTheme="minorEastAsia" w:hAnsiTheme="minorEastAsia" w:hint="eastAsia"/>
          <w:sz w:val="28"/>
          <w:szCs w:val="28"/>
        </w:rPr>
        <w:t>医</w:t>
      </w:r>
      <w:proofErr w:type="gramEnd"/>
      <w:r w:rsidRPr="000F2B22">
        <w:rPr>
          <w:rFonts w:asciiTheme="minorEastAsia" w:hAnsiTheme="minorEastAsia" w:hint="eastAsia"/>
          <w:sz w:val="28"/>
          <w:szCs w:val="28"/>
        </w:rPr>
        <w:t>保政策的发展，为进一步落实社会基本医疗保障体</w:t>
      </w:r>
      <w:r w:rsidR="004D7413" w:rsidRPr="000F2B22">
        <w:rPr>
          <w:rFonts w:asciiTheme="minorEastAsia" w:hAnsiTheme="minorEastAsia" w:hint="eastAsia"/>
          <w:sz w:val="28"/>
          <w:szCs w:val="28"/>
        </w:rPr>
        <w:t>系，缩短北京市基本医疗保险就医费用报销周期，参保人员的就医方式</w:t>
      </w:r>
      <w:r w:rsidRPr="000F2B22">
        <w:rPr>
          <w:rFonts w:asciiTheme="minorEastAsia" w:hAnsiTheme="minorEastAsia" w:hint="eastAsia"/>
          <w:sz w:val="28"/>
          <w:szCs w:val="28"/>
        </w:rPr>
        <w:t>经历了</w:t>
      </w:r>
      <w:proofErr w:type="gramStart"/>
      <w:r w:rsidRPr="000F2B22">
        <w:rPr>
          <w:rFonts w:asciiTheme="minorEastAsia" w:hAnsiTheme="minorEastAsia" w:hint="eastAsia"/>
          <w:sz w:val="28"/>
          <w:szCs w:val="28"/>
        </w:rPr>
        <w:t>从持册就医</w:t>
      </w:r>
      <w:proofErr w:type="gramEnd"/>
      <w:r w:rsidRPr="000F2B22">
        <w:rPr>
          <w:rFonts w:asciiTheme="minorEastAsia" w:hAnsiTheme="minorEastAsia" w:hint="eastAsia"/>
          <w:sz w:val="28"/>
          <w:szCs w:val="28"/>
        </w:rPr>
        <w:t>到持卡就医的逐步转变，医疗保险参保人员持卡就医时只需缴纳个人自付自费部分即可享受医疗服务，</w:t>
      </w:r>
      <w:r w:rsidR="00331767" w:rsidRPr="000F2B22">
        <w:rPr>
          <w:rFonts w:asciiTheme="minorEastAsia" w:hAnsiTheme="minorEastAsia" w:hint="eastAsia"/>
          <w:sz w:val="28"/>
          <w:szCs w:val="28"/>
        </w:rPr>
        <w:t>我</w:t>
      </w:r>
      <w:r w:rsidRPr="000F2B22">
        <w:rPr>
          <w:rFonts w:asciiTheme="minorEastAsia" w:hAnsiTheme="minorEastAsia" w:hint="eastAsia"/>
          <w:sz w:val="28"/>
          <w:szCs w:val="28"/>
        </w:rPr>
        <w:t>院</w:t>
      </w:r>
      <w:r w:rsidR="00331767" w:rsidRPr="000F2B22">
        <w:rPr>
          <w:rFonts w:asciiTheme="minorEastAsia" w:hAnsiTheme="minorEastAsia" w:hint="eastAsia"/>
          <w:sz w:val="28"/>
          <w:szCs w:val="28"/>
        </w:rPr>
        <w:t>自</w:t>
      </w:r>
      <w:r w:rsidR="00E93443" w:rsidRPr="000F2B22">
        <w:rPr>
          <w:rFonts w:asciiTheme="minorEastAsia" w:hAnsiTheme="minorEastAsia" w:hint="eastAsia"/>
          <w:sz w:val="28"/>
          <w:szCs w:val="28"/>
        </w:rPr>
        <w:t>2009年起就</w:t>
      </w:r>
      <w:r w:rsidRPr="000F2B22">
        <w:rPr>
          <w:rFonts w:asciiTheme="minorEastAsia" w:hAnsiTheme="minorEastAsia" w:hint="eastAsia"/>
          <w:sz w:val="28"/>
          <w:szCs w:val="28"/>
        </w:rPr>
        <w:t>已实现医疗保险参保人员在院的“持卡就医、卡网结合、院端实时结算”。</w:t>
      </w:r>
      <w:proofErr w:type="gramStart"/>
      <w:r w:rsidR="00331767" w:rsidRPr="000F2B22">
        <w:rPr>
          <w:rFonts w:asciiTheme="minorEastAsia" w:hAnsiTheme="minorEastAsia" w:hint="eastAsia"/>
          <w:sz w:val="28"/>
          <w:szCs w:val="28"/>
        </w:rPr>
        <w:t>医</w:t>
      </w:r>
      <w:proofErr w:type="gramEnd"/>
      <w:r w:rsidR="00331767" w:rsidRPr="000F2B22">
        <w:rPr>
          <w:rFonts w:asciiTheme="minorEastAsia" w:hAnsiTheme="minorEastAsia" w:hint="eastAsia"/>
          <w:sz w:val="28"/>
          <w:szCs w:val="28"/>
        </w:rPr>
        <w:t>保项目开始推行</w:t>
      </w:r>
      <w:r w:rsidR="00A17C1B">
        <w:rPr>
          <w:rFonts w:asciiTheme="minorEastAsia" w:hAnsiTheme="minorEastAsia" w:hint="eastAsia"/>
          <w:sz w:val="28"/>
          <w:szCs w:val="28"/>
        </w:rPr>
        <w:t>初期</w:t>
      </w:r>
      <w:r w:rsidR="00331767" w:rsidRPr="000F2B22">
        <w:rPr>
          <w:rFonts w:asciiTheme="minorEastAsia" w:hAnsiTheme="minorEastAsia" w:hint="eastAsia"/>
          <w:sz w:val="28"/>
          <w:szCs w:val="28"/>
        </w:rPr>
        <w:t>由上级单位支持</w:t>
      </w:r>
      <w:r w:rsidRPr="000F2B22">
        <w:rPr>
          <w:rFonts w:asciiTheme="minorEastAsia" w:hAnsiTheme="minorEastAsia" w:hint="eastAsia"/>
          <w:sz w:val="28"/>
          <w:szCs w:val="28"/>
        </w:rPr>
        <w:t>，</w:t>
      </w:r>
      <w:r w:rsidR="002A10D9">
        <w:rPr>
          <w:rFonts w:asciiTheme="minorEastAsia" w:hAnsiTheme="minorEastAsia" w:hint="eastAsia"/>
          <w:sz w:val="28"/>
          <w:szCs w:val="28"/>
        </w:rPr>
        <w:t>政府指定</w:t>
      </w:r>
      <w:r w:rsidR="00331767" w:rsidRPr="000F2B22">
        <w:rPr>
          <w:rFonts w:asciiTheme="minorEastAsia" w:hAnsiTheme="minorEastAsia" w:hint="eastAsia"/>
          <w:sz w:val="28"/>
          <w:szCs w:val="28"/>
        </w:rPr>
        <w:t>合作方</w:t>
      </w:r>
      <w:r w:rsidRPr="000F2B22">
        <w:rPr>
          <w:rFonts w:asciiTheme="minorEastAsia" w:hAnsiTheme="minorEastAsia" w:hint="eastAsia"/>
          <w:sz w:val="28"/>
          <w:szCs w:val="28"/>
        </w:rPr>
        <w:t>为医院免费部署了</w:t>
      </w:r>
      <w:proofErr w:type="gramStart"/>
      <w:r w:rsidR="004D7413" w:rsidRPr="000F2B22">
        <w:rPr>
          <w:rFonts w:asciiTheme="minorEastAsia" w:hAnsiTheme="minorEastAsia" w:hint="eastAsia"/>
          <w:sz w:val="28"/>
          <w:szCs w:val="28"/>
        </w:rPr>
        <w:t>医保</w:t>
      </w:r>
      <w:r w:rsidR="00331767" w:rsidRPr="000F2B22">
        <w:rPr>
          <w:rFonts w:asciiTheme="minorEastAsia" w:hAnsiTheme="minorEastAsia" w:hint="eastAsia"/>
          <w:sz w:val="28"/>
          <w:szCs w:val="28"/>
        </w:rPr>
        <w:t>网络</w:t>
      </w:r>
      <w:proofErr w:type="gramEnd"/>
      <w:r w:rsidR="00331767" w:rsidRPr="000F2B22">
        <w:rPr>
          <w:rFonts w:asciiTheme="minorEastAsia" w:hAnsiTheme="minorEastAsia" w:hint="eastAsia"/>
          <w:sz w:val="28"/>
          <w:szCs w:val="28"/>
        </w:rPr>
        <w:t>及硬件环境</w:t>
      </w:r>
      <w:r w:rsidRPr="000F2B22">
        <w:rPr>
          <w:rFonts w:asciiTheme="minorEastAsia" w:hAnsiTheme="minorEastAsia" w:hint="eastAsia"/>
          <w:sz w:val="28"/>
          <w:szCs w:val="28"/>
        </w:rPr>
        <w:t>，并提供免费运维服务。服务内容包括</w:t>
      </w:r>
      <w:r w:rsidR="000A2F82" w:rsidRPr="000F2B22">
        <w:rPr>
          <w:rFonts w:asciiTheme="minorEastAsia" w:hAnsiTheme="minorEastAsia" w:hint="eastAsia"/>
          <w:sz w:val="28"/>
          <w:szCs w:val="28"/>
        </w:rPr>
        <w:t>热线</w:t>
      </w:r>
      <w:r w:rsidRPr="000F2B22">
        <w:rPr>
          <w:rFonts w:asciiTheme="minorEastAsia" w:hAnsiTheme="minorEastAsia" w:hint="eastAsia"/>
          <w:sz w:val="28"/>
          <w:szCs w:val="28"/>
        </w:rPr>
        <w:t>电话</w:t>
      </w:r>
      <w:r w:rsidR="00F73774" w:rsidRPr="000F2B22">
        <w:rPr>
          <w:rFonts w:asciiTheme="minorEastAsia" w:hAnsiTheme="minorEastAsia" w:hint="eastAsia"/>
          <w:sz w:val="28"/>
          <w:szCs w:val="28"/>
        </w:rPr>
        <w:t>支持</w:t>
      </w:r>
      <w:r w:rsidR="004D7413" w:rsidRPr="000F2B22">
        <w:rPr>
          <w:rFonts w:asciiTheme="minorEastAsia" w:hAnsiTheme="minorEastAsia" w:hint="eastAsia"/>
          <w:sz w:val="28"/>
          <w:szCs w:val="28"/>
        </w:rPr>
        <w:t>及</w:t>
      </w:r>
      <w:proofErr w:type="gramStart"/>
      <w:r w:rsidR="004D7413" w:rsidRPr="000F2B22">
        <w:rPr>
          <w:rFonts w:asciiTheme="minorEastAsia" w:hAnsiTheme="minorEastAsia" w:hint="eastAsia"/>
          <w:sz w:val="28"/>
          <w:szCs w:val="28"/>
        </w:rPr>
        <w:t>医</w:t>
      </w:r>
      <w:proofErr w:type="gramEnd"/>
      <w:r w:rsidR="004D7413" w:rsidRPr="000F2B22">
        <w:rPr>
          <w:rFonts w:asciiTheme="minorEastAsia" w:hAnsiTheme="minorEastAsia" w:hint="eastAsia"/>
          <w:sz w:val="28"/>
          <w:szCs w:val="28"/>
        </w:rPr>
        <w:t>保系统</w:t>
      </w:r>
      <w:r w:rsidR="00F73774" w:rsidRPr="000F2B22">
        <w:rPr>
          <w:rFonts w:asciiTheme="minorEastAsia" w:hAnsiTheme="minorEastAsia" w:hint="eastAsia"/>
          <w:sz w:val="28"/>
          <w:szCs w:val="28"/>
        </w:rPr>
        <w:t>故障发生后48小时内的上门服务</w:t>
      </w:r>
      <w:r w:rsidR="00761535">
        <w:rPr>
          <w:rFonts w:asciiTheme="minorEastAsia" w:hAnsiTheme="minorEastAsia" w:hint="eastAsia"/>
          <w:sz w:val="28"/>
          <w:szCs w:val="28"/>
        </w:rPr>
        <w:t>。</w:t>
      </w:r>
    </w:p>
    <w:p w:rsidR="00F73774" w:rsidRPr="000F2B22" w:rsidRDefault="00F73774" w:rsidP="000F2B22">
      <w:pPr>
        <w:spacing w:line="300" w:lineRule="auto"/>
        <w:ind w:firstLineChars="200" w:firstLine="560"/>
        <w:jc w:val="left"/>
        <w:rPr>
          <w:rFonts w:asciiTheme="minorEastAsia" w:hAnsiTheme="minorEastAsia"/>
          <w:sz w:val="28"/>
          <w:szCs w:val="28"/>
        </w:rPr>
      </w:pPr>
      <w:r w:rsidRPr="000F2B22">
        <w:rPr>
          <w:rFonts w:asciiTheme="minorEastAsia" w:hAnsiTheme="minorEastAsia" w:hint="eastAsia"/>
          <w:sz w:val="28"/>
          <w:szCs w:val="28"/>
        </w:rPr>
        <w:t>随着</w:t>
      </w:r>
      <w:proofErr w:type="gramStart"/>
      <w:r w:rsidRPr="000F2B22">
        <w:rPr>
          <w:rFonts w:asciiTheme="minorEastAsia" w:hAnsiTheme="minorEastAsia" w:hint="eastAsia"/>
          <w:sz w:val="28"/>
          <w:szCs w:val="28"/>
        </w:rPr>
        <w:t>医</w:t>
      </w:r>
      <w:proofErr w:type="gramEnd"/>
      <w:r w:rsidRPr="000F2B22">
        <w:rPr>
          <w:rFonts w:asciiTheme="minorEastAsia" w:hAnsiTheme="minorEastAsia" w:hint="eastAsia"/>
          <w:sz w:val="28"/>
          <w:szCs w:val="28"/>
        </w:rPr>
        <w:t>保门诊/住院实时结算业务的上线、互联互通工作的开展，</w:t>
      </w:r>
      <w:proofErr w:type="gramStart"/>
      <w:r w:rsidRPr="000F2B22">
        <w:rPr>
          <w:rFonts w:asciiTheme="minorEastAsia" w:hAnsiTheme="minorEastAsia" w:hint="eastAsia"/>
          <w:sz w:val="28"/>
          <w:szCs w:val="28"/>
        </w:rPr>
        <w:t>医</w:t>
      </w:r>
      <w:proofErr w:type="gramEnd"/>
      <w:r w:rsidRPr="000F2B22">
        <w:rPr>
          <w:rFonts w:asciiTheme="minorEastAsia" w:hAnsiTheme="minorEastAsia" w:hint="eastAsia"/>
          <w:sz w:val="28"/>
          <w:szCs w:val="28"/>
        </w:rPr>
        <w:t>保系统处理的数据量大大增加，</w:t>
      </w:r>
      <w:r w:rsidR="002A10D9">
        <w:rPr>
          <w:rFonts w:asciiTheme="minorEastAsia" w:hAnsiTheme="minorEastAsia" w:hint="eastAsia"/>
          <w:sz w:val="28"/>
          <w:szCs w:val="28"/>
        </w:rPr>
        <w:t>各医院</w:t>
      </w:r>
      <w:r w:rsidRPr="000F2B22">
        <w:rPr>
          <w:rFonts w:asciiTheme="minorEastAsia" w:hAnsiTheme="minorEastAsia" w:hint="eastAsia"/>
          <w:sz w:val="28"/>
          <w:szCs w:val="28"/>
        </w:rPr>
        <w:t>对</w:t>
      </w:r>
      <w:proofErr w:type="gramStart"/>
      <w:r w:rsidRPr="000F2B22">
        <w:rPr>
          <w:rFonts w:asciiTheme="minorEastAsia" w:hAnsiTheme="minorEastAsia" w:hint="eastAsia"/>
          <w:sz w:val="28"/>
          <w:szCs w:val="28"/>
        </w:rPr>
        <w:t>医</w:t>
      </w:r>
      <w:proofErr w:type="gramEnd"/>
      <w:r w:rsidRPr="000F2B22">
        <w:rPr>
          <w:rFonts w:asciiTheme="minorEastAsia" w:hAnsiTheme="minorEastAsia" w:hint="eastAsia"/>
          <w:sz w:val="28"/>
          <w:szCs w:val="28"/>
        </w:rPr>
        <w:t>保业务系统数据处理性能、稳定性、高可用性，以及对</w:t>
      </w:r>
      <w:proofErr w:type="gramStart"/>
      <w:r w:rsidRPr="000F2B22">
        <w:rPr>
          <w:rFonts w:asciiTheme="minorEastAsia" w:hAnsiTheme="minorEastAsia" w:hint="eastAsia"/>
          <w:sz w:val="28"/>
          <w:szCs w:val="28"/>
        </w:rPr>
        <w:t>医</w:t>
      </w:r>
      <w:proofErr w:type="gramEnd"/>
      <w:r w:rsidRPr="000F2B22">
        <w:rPr>
          <w:rFonts w:asciiTheme="minorEastAsia" w:hAnsiTheme="minorEastAsia" w:hint="eastAsia"/>
          <w:sz w:val="28"/>
          <w:szCs w:val="28"/>
        </w:rPr>
        <w:t>保数</w:t>
      </w:r>
      <w:r w:rsidR="002A10D9">
        <w:rPr>
          <w:rFonts w:asciiTheme="minorEastAsia" w:hAnsiTheme="minorEastAsia" w:hint="eastAsia"/>
          <w:sz w:val="28"/>
          <w:szCs w:val="28"/>
        </w:rPr>
        <w:t>据安全性、</w:t>
      </w:r>
      <w:proofErr w:type="gramStart"/>
      <w:r w:rsidR="002A10D9">
        <w:rPr>
          <w:rFonts w:asciiTheme="minorEastAsia" w:hAnsiTheme="minorEastAsia" w:hint="eastAsia"/>
          <w:sz w:val="28"/>
          <w:szCs w:val="28"/>
        </w:rPr>
        <w:t>医</w:t>
      </w:r>
      <w:proofErr w:type="gramEnd"/>
      <w:r w:rsidR="002A10D9">
        <w:rPr>
          <w:rFonts w:asciiTheme="minorEastAsia" w:hAnsiTheme="minorEastAsia" w:hint="eastAsia"/>
          <w:sz w:val="28"/>
          <w:szCs w:val="28"/>
        </w:rPr>
        <w:t>保业务的连续性、工作效率方面提出了更高要求，需要更快响应的服务来满足医院的业务发展。因</w:t>
      </w:r>
      <w:r w:rsidRPr="000F2B22">
        <w:rPr>
          <w:rFonts w:asciiTheme="minorEastAsia" w:hAnsiTheme="minorEastAsia" w:hint="eastAsia"/>
          <w:sz w:val="28"/>
          <w:szCs w:val="28"/>
        </w:rPr>
        <w:t>此，</w:t>
      </w:r>
      <w:r w:rsidR="00761535">
        <w:rPr>
          <w:rFonts w:asciiTheme="minorEastAsia" w:hAnsiTheme="minorEastAsia" w:hint="eastAsia"/>
          <w:sz w:val="28"/>
          <w:szCs w:val="28"/>
        </w:rPr>
        <w:t>上级单位对医院的</w:t>
      </w:r>
      <w:proofErr w:type="gramStart"/>
      <w:r w:rsidR="00761535">
        <w:rPr>
          <w:rFonts w:asciiTheme="minorEastAsia" w:hAnsiTheme="minorEastAsia" w:hint="eastAsia"/>
          <w:sz w:val="28"/>
          <w:szCs w:val="28"/>
        </w:rPr>
        <w:t>医</w:t>
      </w:r>
      <w:proofErr w:type="gramEnd"/>
      <w:r w:rsidR="00761535">
        <w:rPr>
          <w:rFonts w:asciiTheme="minorEastAsia" w:hAnsiTheme="minorEastAsia" w:hint="eastAsia"/>
          <w:sz w:val="28"/>
          <w:szCs w:val="28"/>
        </w:rPr>
        <w:t>保业务维护提出了更高要求</w:t>
      </w:r>
      <w:r w:rsidR="00E93443" w:rsidRPr="000F2B22">
        <w:rPr>
          <w:rFonts w:asciiTheme="minorEastAsia" w:hAnsiTheme="minorEastAsia" w:hint="eastAsia"/>
          <w:sz w:val="28"/>
          <w:szCs w:val="28"/>
        </w:rPr>
        <w:t>（</w:t>
      </w:r>
      <w:r w:rsidR="00E93443" w:rsidRPr="000F2B22">
        <w:rPr>
          <w:rFonts w:asciiTheme="minorEastAsia" w:hAnsiTheme="minorEastAsia" w:hint="eastAsia"/>
          <w:color w:val="FF0000"/>
          <w:sz w:val="28"/>
          <w:szCs w:val="28"/>
        </w:rPr>
        <w:t>详见京人社</w:t>
      </w:r>
      <w:proofErr w:type="gramStart"/>
      <w:r w:rsidR="00E93443" w:rsidRPr="000F2B22">
        <w:rPr>
          <w:rFonts w:asciiTheme="minorEastAsia" w:hAnsiTheme="minorEastAsia" w:hint="eastAsia"/>
          <w:color w:val="FF0000"/>
          <w:sz w:val="28"/>
          <w:szCs w:val="28"/>
        </w:rPr>
        <w:t>医</w:t>
      </w:r>
      <w:proofErr w:type="gramEnd"/>
      <w:r w:rsidR="00E93443" w:rsidRPr="000F2B22">
        <w:rPr>
          <w:rFonts w:asciiTheme="minorEastAsia" w:hAnsiTheme="minorEastAsia" w:hint="eastAsia"/>
          <w:color w:val="FF0000"/>
          <w:sz w:val="28"/>
          <w:szCs w:val="28"/>
        </w:rPr>
        <w:t>保发【2010】44号文件，文件中指出定点医疗机构需成立持卡结算工作应急小组，及时解决实施过程中的各种问题，保持与</w:t>
      </w:r>
      <w:proofErr w:type="gramStart"/>
      <w:r w:rsidR="00761535">
        <w:rPr>
          <w:rFonts w:asciiTheme="minorEastAsia" w:hAnsiTheme="minorEastAsia" w:hint="eastAsia"/>
          <w:color w:val="FF0000"/>
          <w:sz w:val="28"/>
          <w:szCs w:val="28"/>
        </w:rPr>
        <w:t>医</w:t>
      </w:r>
      <w:proofErr w:type="gramEnd"/>
      <w:r w:rsidR="00761535">
        <w:rPr>
          <w:rFonts w:asciiTheme="minorEastAsia" w:hAnsiTheme="minorEastAsia" w:hint="eastAsia"/>
          <w:color w:val="FF0000"/>
          <w:sz w:val="28"/>
          <w:szCs w:val="28"/>
        </w:rPr>
        <w:t>保系统供应商</w:t>
      </w:r>
      <w:r w:rsidR="00E93443" w:rsidRPr="000F2B22">
        <w:rPr>
          <w:rFonts w:asciiTheme="minorEastAsia" w:hAnsiTheme="minorEastAsia" w:hint="eastAsia"/>
          <w:color w:val="FF0000"/>
          <w:sz w:val="28"/>
          <w:szCs w:val="28"/>
        </w:rPr>
        <w:t>的联系，保证突发事件得到妥善解决</w:t>
      </w:r>
      <w:r w:rsidR="00855C53" w:rsidRPr="000F2B22">
        <w:rPr>
          <w:rFonts w:asciiTheme="minorEastAsia" w:hAnsiTheme="minorEastAsia" w:hint="eastAsia"/>
          <w:color w:val="FF0000"/>
          <w:sz w:val="28"/>
          <w:szCs w:val="28"/>
        </w:rPr>
        <w:t>。</w:t>
      </w:r>
      <w:r w:rsidR="00761535" w:rsidRPr="00761535">
        <w:rPr>
          <w:rFonts w:asciiTheme="minorEastAsia" w:hAnsiTheme="minorEastAsia" w:hint="eastAsia"/>
          <w:sz w:val="28"/>
          <w:szCs w:val="28"/>
        </w:rPr>
        <w:t>）</w:t>
      </w:r>
      <w:r w:rsidRPr="000F2B22">
        <w:rPr>
          <w:rFonts w:asciiTheme="minorEastAsia" w:hAnsiTheme="minorEastAsia" w:hint="eastAsia"/>
          <w:sz w:val="28"/>
          <w:szCs w:val="28"/>
        </w:rPr>
        <w:t>。</w:t>
      </w:r>
    </w:p>
    <w:p w:rsidR="00761535" w:rsidRDefault="00761535" w:rsidP="00761535">
      <w:pPr>
        <w:ind w:firstLine="420"/>
        <w:rPr>
          <w:sz w:val="28"/>
          <w:szCs w:val="28"/>
        </w:rPr>
      </w:pPr>
      <w:r>
        <w:rPr>
          <w:rFonts w:hint="eastAsia"/>
          <w:sz w:val="28"/>
          <w:szCs w:val="28"/>
        </w:rPr>
        <w:t>鉴于医院</w:t>
      </w:r>
      <w:proofErr w:type="gramStart"/>
      <w:r>
        <w:rPr>
          <w:rFonts w:hint="eastAsia"/>
          <w:sz w:val="28"/>
          <w:szCs w:val="28"/>
        </w:rPr>
        <w:t>医</w:t>
      </w:r>
      <w:proofErr w:type="gramEnd"/>
      <w:r>
        <w:rPr>
          <w:rFonts w:hint="eastAsia"/>
          <w:sz w:val="28"/>
          <w:szCs w:val="28"/>
        </w:rPr>
        <w:t>保业务所占比例逐年递增，</w:t>
      </w:r>
      <w:proofErr w:type="gramStart"/>
      <w:r>
        <w:rPr>
          <w:rFonts w:hint="eastAsia"/>
          <w:sz w:val="28"/>
          <w:szCs w:val="28"/>
        </w:rPr>
        <w:t>医</w:t>
      </w:r>
      <w:proofErr w:type="gramEnd"/>
      <w:r>
        <w:rPr>
          <w:rFonts w:hint="eastAsia"/>
          <w:sz w:val="28"/>
          <w:szCs w:val="28"/>
        </w:rPr>
        <w:t>保业务与医院业务联系越来越紧密，今年还将新增加</w:t>
      </w:r>
      <w:proofErr w:type="gramStart"/>
      <w:r>
        <w:rPr>
          <w:rFonts w:hint="eastAsia"/>
          <w:sz w:val="28"/>
          <w:szCs w:val="28"/>
        </w:rPr>
        <w:t>医</w:t>
      </w:r>
      <w:proofErr w:type="gramEnd"/>
      <w:r>
        <w:rPr>
          <w:rFonts w:hint="eastAsia"/>
          <w:sz w:val="28"/>
          <w:szCs w:val="28"/>
        </w:rPr>
        <w:t>保个人账户支付功能，异地</w:t>
      </w:r>
      <w:proofErr w:type="gramStart"/>
      <w:r>
        <w:rPr>
          <w:rFonts w:hint="eastAsia"/>
          <w:sz w:val="28"/>
          <w:szCs w:val="28"/>
        </w:rPr>
        <w:t>医</w:t>
      </w:r>
      <w:proofErr w:type="gramEnd"/>
      <w:r>
        <w:rPr>
          <w:rFonts w:hint="eastAsia"/>
          <w:sz w:val="28"/>
          <w:szCs w:val="28"/>
        </w:rPr>
        <w:t>保跨省结算实时分解等</w:t>
      </w:r>
      <w:r w:rsidR="005679C6">
        <w:rPr>
          <w:rFonts w:hint="eastAsia"/>
          <w:sz w:val="28"/>
          <w:szCs w:val="28"/>
        </w:rPr>
        <w:t>业务，对于</w:t>
      </w:r>
      <w:proofErr w:type="gramStart"/>
      <w:r w:rsidR="005679C6">
        <w:rPr>
          <w:rFonts w:hint="eastAsia"/>
          <w:sz w:val="28"/>
          <w:szCs w:val="28"/>
        </w:rPr>
        <w:t>医</w:t>
      </w:r>
      <w:proofErr w:type="gramEnd"/>
      <w:r w:rsidR="005679C6">
        <w:rPr>
          <w:rFonts w:hint="eastAsia"/>
          <w:sz w:val="28"/>
          <w:szCs w:val="28"/>
        </w:rPr>
        <w:t>保系统的稳定性提出了更高的要求。综合分析，我院需要购买</w:t>
      </w:r>
      <w:proofErr w:type="gramStart"/>
      <w:r>
        <w:rPr>
          <w:rFonts w:hint="eastAsia"/>
          <w:sz w:val="28"/>
          <w:szCs w:val="28"/>
        </w:rPr>
        <w:t>医</w:t>
      </w:r>
      <w:proofErr w:type="gramEnd"/>
      <w:r>
        <w:rPr>
          <w:rFonts w:hint="eastAsia"/>
          <w:sz w:val="28"/>
          <w:szCs w:val="28"/>
        </w:rPr>
        <w:t>保系统个性化服务，保证系统正常运行，防止</w:t>
      </w:r>
      <w:proofErr w:type="gramStart"/>
      <w:r>
        <w:rPr>
          <w:rFonts w:hint="eastAsia"/>
          <w:sz w:val="28"/>
          <w:szCs w:val="28"/>
        </w:rPr>
        <w:t>医</w:t>
      </w:r>
      <w:proofErr w:type="gramEnd"/>
      <w:r>
        <w:rPr>
          <w:rFonts w:hint="eastAsia"/>
          <w:sz w:val="28"/>
          <w:szCs w:val="28"/>
        </w:rPr>
        <w:t>保系统故障对医院造成不良影响。</w:t>
      </w:r>
    </w:p>
    <w:p w:rsidR="00F73774" w:rsidRDefault="00761535" w:rsidP="000F2B22">
      <w:r>
        <w:rPr>
          <w:rFonts w:hint="eastAsia"/>
          <w:sz w:val="28"/>
          <w:szCs w:val="28"/>
        </w:rPr>
        <w:lastRenderedPageBreak/>
        <w:t>肿瘤医院</w:t>
      </w:r>
      <w:r w:rsidR="000F2B22" w:rsidRPr="008C2A09">
        <w:rPr>
          <w:rFonts w:hint="eastAsia"/>
          <w:sz w:val="28"/>
          <w:szCs w:val="28"/>
        </w:rPr>
        <w:t>个性化</w:t>
      </w:r>
      <w:proofErr w:type="gramStart"/>
      <w:r w:rsidR="00051717" w:rsidRPr="008C2A09">
        <w:rPr>
          <w:rFonts w:hint="eastAsia"/>
          <w:sz w:val="28"/>
          <w:szCs w:val="28"/>
        </w:rPr>
        <w:t>医</w:t>
      </w:r>
      <w:proofErr w:type="gramEnd"/>
      <w:r w:rsidR="00051717" w:rsidRPr="008C2A09">
        <w:rPr>
          <w:rFonts w:hint="eastAsia"/>
          <w:sz w:val="28"/>
          <w:szCs w:val="28"/>
        </w:rPr>
        <w:t>保技术服务</w:t>
      </w:r>
      <w:r>
        <w:rPr>
          <w:rFonts w:hint="eastAsia"/>
          <w:sz w:val="28"/>
          <w:szCs w:val="28"/>
        </w:rPr>
        <w:t>需求</w:t>
      </w:r>
      <w:r w:rsidR="00051717" w:rsidRPr="008C2A09">
        <w:rPr>
          <w:rFonts w:hint="eastAsia"/>
          <w:sz w:val="28"/>
          <w:szCs w:val="28"/>
        </w:rPr>
        <w:t>具体内容如下：</w:t>
      </w:r>
    </w:p>
    <w:tbl>
      <w:tblPr>
        <w:tblW w:w="83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843"/>
        <w:gridCol w:w="6521"/>
      </w:tblGrid>
      <w:tr w:rsidR="00051717" w:rsidRPr="00761535" w:rsidTr="00761535">
        <w:trPr>
          <w:trHeight w:val="631"/>
        </w:trPr>
        <w:tc>
          <w:tcPr>
            <w:tcW w:w="1843" w:type="dxa"/>
            <w:tcBorders>
              <w:top w:val="single" w:sz="12" w:space="0" w:color="000000"/>
              <w:bottom w:val="single" w:sz="6" w:space="0" w:color="000000"/>
            </w:tcBorders>
            <w:shd w:val="clear" w:color="auto" w:fill="595959" w:themeFill="text1" w:themeFillTint="A6"/>
            <w:vAlign w:val="center"/>
          </w:tcPr>
          <w:p w:rsidR="00051717" w:rsidRPr="00761535" w:rsidRDefault="00051717" w:rsidP="00D6080E">
            <w:pPr>
              <w:spacing w:line="360" w:lineRule="auto"/>
              <w:jc w:val="center"/>
              <w:rPr>
                <w:rFonts w:ascii="宋体" w:hAnsi="宋体"/>
                <w:b/>
                <w:color w:val="FFFFFF" w:themeColor="background1"/>
                <w:szCs w:val="21"/>
              </w:rPr>
            </w:pPr>
            <w:r w:rsidRPr="00761535">
              <w:rPr>
                <w:rFonts w:ascii="宋体" w:hAnsi="宋体" w:hint="eastAsia"/>
                <w:b/>
                <w:color w:val="FFFFFF" w:themeColor="background1"/>
                <w:szCs w:val="21"/>
              </w:rPr>
              <w:t>服务名称</w:t>
            </w:r>
          </w:p>
        </w:tc>
        <w:tc>
          <w:tcPr>
            <w:tcW w:w="6521" w:type="dxa"/>
            <w:tcBorders>
              <w:top w:val="single" w:sz="12" w:space="0" w:color="000000"/>
              <w:bottom w:val="single" w:sz="6" w:space="0" w:color="000000"/>
            </w:tcBorders>
            <w:shd w:val="clear" w:color="auto" w:fill="595959" w:themeFill="text1" w:themeFillTint="A6"/>
            <w:vAlign w:val="center"/>
          </w:tcPr>
          <w:p w:rsidR="00051717" w:rsidRPr="00761535" w:rsidRDefault="00051717" w:rsidP="00D6080E">
            <w:pPr>
              <w:spacing w:line="360" w:lineRule="auto"/>
              <w:jc w:val="center"/>
              <w:rPr>
                <w:rFonts w:ascii="宋体" w:hAnsi="宋体"/>
                <w:b/>
                <w:color w:val="FFFFFF" w:themeColor="background1"/>
                <w:szCs w:val="21"/>
              </w:rPr>
            </w:pPr>
            <w:r w:rsidRPr="00761535">
              <w:rPr>
                <w:rFonts w:ascii="宋体" w:hAnsi="宋体" w:hint="eastAsia"/>
                <w:b/>
                <w:color w:val="FFFFFF" w:themeColor="background1"/>
                <w:szCs w:val="21"/>
              </w:rPr>
              <w:t>服务内容描述</w:t>
            </w:r>
          </w:p>
        </w:tc>
      </w:tr>
      <w:tr w:rsidR="00051717" w:rsidRPr="00D011C0" w:rsidTr="00D6080E">
        <w:tc>
          <w:tcPr>
            <w:tcW w:w="1843" w:type="dxa"/>
            <w:vMerge w:val="restart"/>
            <w:tcBorders>
              <w:top w:val="single" w:sz="6" w:space="0" w:color="000000"/>
            </w:tcBorders>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配备专属服务队伍</w:t>
            </w:r>
          </w:p>
        </w:tc>
        <w:tc>
          <w:tcPr>
            <w:tcW w:w="6521" w:type="dxa"/>
            <w:tcBorders>
              <w:top w:val="single" w:sz="6" w:space="0" w:color="000000"/>
            </w:tcBorders>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公司为医院指派一名服务经理，统一协调技术服务，并作为与甲方日常联络接口人。</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服务经理为医院提供7×24小时专人专线电话技术支持服务。</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761535" w:rsidP="00D6080E">
            <w:pPr>
              <w:spacing w:line="360" w:lineRule="auto"/>
              <w:rPr>
                <w:rFonts w:ascii="宋体" w:hAnsi="宋体"/>
                <w:szCs w:val="21"/>
              </w:rPr>
            </w:pPr>
            <w:r>
              <w:rPr>
                <w:rFonts w:ascii="宋体" w:hAnsi="宋体" w:hint="eastAsia"/>
                <w:szCs w:val="21"/>
              </w:rPr>
              <w:t>公司</w:t>
            </w:r>
            <w:r w:rsidR="00051717" w:rsidRPr="00D011C0">
              <w:rPr>
                <w:rFonts w:ascii="宋体" w:hAnsi="宋体" w:hint="eastAsia"/>
                <w:szCs w:val="21"/>
              </w:rPr>
              <w:t>为医院配备培训工程师、后台监控工程师、厂商工程师等运维服务专员。</w:t>
            </w:r>
          </w:p>
        </w:tc>
      </w:tr>
      <w:tr w:rsidR="00051717" w:rsidRPr="00D011C0" w:rsidTr="00D6080E">
        <w:tc>
          <w:tcPr>
            <w:tcW w:w="1843"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快速服务响应</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服务人员的电话或远程不能解决问题时，工程师3个小时内到达医院现场解决问题。</w:t>
            </w:r>
          </w:p>
        </w:tc>
      </w:tr>
      <w:tr w:rsidR="00051717" w:rsidRPr="00D011C0" w:rsidTr="00D6080E">
        <w:tc>
          <w:tcPr>
            <w:tcW w:w="1843" w:type="dxa"/>
            <w:vMerge w:val="restart"/>
            <w:vAlign w:val="center"/>
          </w:tcPr>
          <w:p w:rsidR="00051717" w:rsidRPr="00D011C0" w:rsidRDefault="00051717" w:rsidP="00D6080E">
            <w:pPr>
              <w:spacing w:line="360" w:lineRule="auto"/>
              <w:rPr>
                <w:rFonts w:ascii="宋体" w:hAnsi="宋体"/>
                <w:szCs w:val="21"/>
              </w:rPr>
            </w:pPr>
            <w:proofErr w:type="gramStart"/>
            <w:r w:rsidRPr="00D011C0">
              <w:rPr>
                <w:rFonts w:ascii="宋体" w:hAnsi="宋体" w:hint="eastAsia"/>
                <w:szCs w:val="21"/>
              </w:rPr>
              <w:t>医</w:t>
            </w:r>
            <w:proofErr w:type="gramEnd"/>
            <w:r w:rsidRPr="00D011C0">
              <w:rPr>
                <w:rFonts w:ascii="宋体" w:hAnsi="宋体" w:hint="eastAsia"/>
                <w:szCs w:val="21"/>
              </w:rPr>
              <w:t>保集群容</w:t>
            </w:r>
            <w:proofErr w:type="gramStart"/>
            <w:r w:rsidRPr="00D011C0">
              <w:rPr>
                <w:rFonts w:ascii="宋体" w:hAnsi="宋体" w:hint="eastAsia"/>
                <w:szCs w:val="21"/>
              </w:rPr>
              <w:t>灾系统</w:t>
            </w:r>
            <w:proofErr w:type="gramEnd"/>
            <w:r w:rsidRPr="00D011C0">
              <w:rPr>
                <w:rFonts w:ascii="宋体" w:hAnsi="宋体" w:hint="eastAsia"/>
                <w:szCs w:val="21"/>
              </w:rPr>
              <w:t>7×24实时不间断监控和运</w:t>
            </w:r>
            <w:proofErr w:type="gramStart"/>
            <w:r w:rsidRPr="00D011C0">
              <w:rPr>
                <w:rFonts w:ascii="宋体" w:hAnsi="宋体" w:hint="eastAsia"/>
                <w:szCs w:val="21"/>
              </w:rPr>
              <w:t>维保障</w:t>
            </w:r>
            <w:proofErr w:type="gramEnd"/>
          </w:p>
        </w:tc>
        <w:tc>
          <w:tcPr>
            <w:tcW w:w="6521" w:type="dxa"/>
            <w:vAlign w:val="center"/>
          </w:tcPr>
          <w:p w:rsidR="00051717" w:rsidRPr="00D011C0" w:rsidRDefault="00051717" w:rsidP="00D6080E">
            <w:pPr>
              <w:spacing w:line="360" w:lineRule="auto"/>
              <w:rPr>
                <w:rFonts w:ascii="宋体" w:hAnsi="宋体"/>
                <w:szCs w:val="21"/>
              </w:rPr>
            </w:pPr>
            <w:r>
              <w:rPr>
                <w:rFonts w:ascii="宋体" w:hAnsi="宋体" w:hint="eastAsia"/>
                <w:szCs w:val="21"/>
              </w:rPr>
              <w:t>负责</w:t>
            </w:r>
            <w:proofErr w:type="gramStart"/>
            <w:r>
              <w:rPr>
                <w:rFonts w:ascii="宋体" w:hAnsi="宋体" w:hint="eastAsia"/>
                <w:szCs w:val="21"/>
              </w:rPr>
              <w:t>医</w:t>
            </w:r>
            <w:proofErr w:type="gramEnd"/>
            <w:r>
              <w:rPr>
                <w:rFonts w:ascii="宋体" w:hAnsi="宋体" w:hint="eastAsia"/>
                <w:szCs w:val="21"/>
              </w:rPr>
              <w:t>保集群容</w:t>
            </w:r>
            <w:proofErr w:type="gramStart"/>
            <w:r>
              <w:rPr>
                <w:rFonts w:ascii="宋体" w:hAnsi="宋体" w:hint="eastAsia"/>
                <w:szCs w:val="21"/>
              </w:rPr>
              <w:t>灾系统</w:t>
            </w:r>
            <w:proofErr w:type="gramEnd"/>
            <w:r>
              <w:rPr>
                <w:rFonts w:ascii="宋体" w:hAnsi="宋体" w:hint="eastAsia"/>
                <w:szCs w:val="21"/>
              </w:rPr>
              <w:t>所有节点和设备（包括服务器、磁盘阵列</w:t>
            </w:r>
            <w:r w:rsidRPr="00D011C0">
              <w:rPr>
                <w:rFonts w:ascii="宋体" w:hAnsi="宋体" w:hint="eastAsia"/>
                <w:szCs w:val="21"/>
              </w:rPr>
              <w:t>、网络节点）的运行状况进行7*24在线实时监控。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负责集群系统之间的数据和程序同步情况进行7*24在线实时监控。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负责</w:t>
            </w:r>
            <w:proofErr w:type="gramStart"/>
            <w:r w:rsidRPr="00D011C0">
              <w:rPr>
                <w:rFonts w:ascii="宋体" w:hAnsi="宋体" w:hint="eastAsia"/>
                <w:szCs w:val="21"/>
              </w:rPr>
              <w:t>医</w:t>
            </w:r>
            <w:proofErr w:type="gramEnd"/>
            <w:r w:rsidRPr="00D011C0">
              <w:rPr>
                <w:rFonts w:ascii="宋体" w:hAnsi="宋体" w:hint="eastAsia"/>
                <w:szCs w:val="21"/>
              </w:rPr>
              <w:t>保专网的接入和数据上传下载情况进行实时监控。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监控</w:t>
            </w:r>
            <w:r w:rsidR="00761535">
              <w:rPr>
                <w:rFonts w:ascii="宋体" w:hAnsi="宋体" w:hint="eastAsia"/>
                <w:szCs w:val="21"/>
              </w:rPr>
              <w:t>发现问题后，将通过网络，远程及时处理问题；如果不能解决问题，</w:t>
            </w:r>
            <w:r w:rsidRPr="00D011C0">
              <w:rPr>
                <w:rFonts w:ascii="宋体" w:hAnsi="宋体" w:hint="eastAsia"/>
                <w:szCs w:val="21"/>
              </w:rPr>
              <w:t>公司派工程师到医院现场解决问题。</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负责集群系统的所有设备进行系统补丁升级。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负责集群系统的所有设备进行杀毒软件和病毒库升级。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协调、协助厂商对硬件设备进行升级；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操作系统监控及维护，保证系统可运行；</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数据库监控及维护，保证数据库可运行；</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系统状态及操作系统的定期备份；</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系统及数据库的性能优化；</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医院端集群系统的重新搭建；</w:t>
            </w:r>
          </w:p>
        </w:tc>
      </w:tr>
      <w:tr w:rsidR="00051717" w:rsidRPr="00D011C0" w:rsidTr="00D6080E">
        <w:tc>
          <w:tcPr>
            <w:tcW w:w="1843" w:type="dxa"/>
            <w:vMerge w:val="restart"/>
            <w:vAlign w:val="center"/>
          </w:tcPr>
          <w:p w:rsidR="00051717" w:rsidRPr="00D011C0" w:rsidRDefault="00051717" w:rsidP="00D6080E">
            <w:pPr>
              <w:spacing w:line="360" w:lineRule="auto"/>
              <w:rPr>
                <w:rFonts w:ascii="宋体" w:hAnsi="宋体"/>
                <w:szCs w:val="21"/>
              </w:rPr>
            </w:pPr>
            <w:proofErr w:type="gramStart"/>
            <w:r w:rsidRPr="00D011C0">
              <w:rPr>
                <w:rFonts w:ascii="宋体" w:hAnsi="宋体" w:hint="eastAsia"/>
                <w:szCs w:val="21"/>
              </w:rPr>
              <w:t>医保应用</w:t>
            </w:r>
            <w:proofErr w:type="gramEnd"/>
            <w:r w:rsidRPr="00D011C0">
              <w:rPr>
                <w:rFonts w:ascii="宋体" w:hAnsi="宋体" w:hint="eastAsia"/>
                <w:szCs w:val="21"/>
              </w:rPr>
              <w:t>补丁升级保障服务</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补丁程序发布前，提前告知医院补丁的内容、注意事项、数据接口变化等内容。</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761535" w:rsidP="00D6080E">
            <w:pPr>
              <w:spacing w:line="360" w:lineRule="auto"/>
              <w:rPr>
                <w:rFonts w:ascii="宋体" w:hAnsi="宋体"/>
                <w:szCs w:val="21"/>
              </w:rPr>
            </w:pPr>
            <w:proofErr w:type="gramStart"/>
            <w:r>
              <w:rPr>
                <w:rFonts w:ascii="宋体" w:hAnsi="宋体" w:hint="eastAsia"/>
                <w:szCs w:val="21"/>
              </w:rPr>
              <w:t>医</w:t>
            </w:r>
            <w:proofErr w:type="gramEnd"/>
            <w:r>
              <w:rPr>
                <w:rFonts w:ascii="宋体" w:hAnsi="宋体" w:hint="eastAsia"/>
                <w:szCs w:val="21"/>
              </w:rPr>
              <w:t>保补丁程序发布后，</w:t>
            </w:r>
            <w:r w:rsidR="00051717" w:rsidRPr="00D011C0">
              <w:rPr>
                <w:rFonts w:ascii="宋体" w:hAnsi="宋体" w:hint="eastAsia"/>
                <w:szCs w:val="21"/>
              </w:rPr>
              <w:t>公司通过远程和派工程师到医院现场的方式，为医院升级补丁。</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761535" w:rsidP="00D6080E">
            <w:pPr>
              <w:spacing w:line="360" w:lineRule="auto"/>
              <w:rPr>
                <w:rFonts w:ascii="宋体" w:hAnsi="宋体"/>
                <w:szCs w:val="21"/>
              </w:rPr>
            </w:pPr>
            <w:proofErr w:type="gramStart"/>
            <w:r>
              <w:rPr>
                <w:rFonts w:ascii="宋体" w:hAnsi="宋体" w:hint="eastAsia"/>
                <w:szCs w:val="21"/>
              </w:rPr>
              <w:t>医</w:t>
            </w:r>
            <w:proofErr w:type="gramEnd"/>
            <w:r>
              <w:rPr>
                <w:rFonts w:ascii="宋体" w:hAnsi="宋体" w:hint="eastAsia"/>
                <w:szCs w:val="21"/>
              </w:rPr>
              <w:t>保重大补丁升级或更新，</w:t>
            </w:r>
            <w:r w:rsidR="00051717" w:rsidRPr="00D011C0">
              <w:rPr>
                <w:rFonts w:ascii="宋体" w:hAnsi="宋体" w:hint="eastAsia"/>
                <w:szCs w:val="21"/>
              </w:rPr>
              <w:t>公司派工程师到医院现场，保障升级更新</w:t>
            </w:r>
            <w:r w:rsidR="00051717" w:rsidRPr="00D011C0">
              <w:rPr>
                <w:rFonts w:ascii="宋体" w:hAnsi="宋体" w:hint="eastAsia"/>
                <w:szCs w:val="21"/>
              </w:rPr>
              <w:lastRenderedPageBreak/>
              <w:t>后系统稳定运行。</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proofErr w:type="gramStart"/>
            <w:r w:rsidRPr="00D011C0">
              <w:rPr>
                <w:rFonts w:ascii="宋体" w:hAnsi="宋体" w:hint="eastAsia"/>
                <w:szCs w:val="21"/>
              </w:rPr>
              <w:t>医</w:t>
            </w:r>
            <w:proofErr w:type="gramEnd"/>
            <w:r w:rsidRPr="00D011C0">
              <w:rPr>
                <w:rFonts w:ascii="宋体" w:hAnsi="宋体" w:hint="eastAsia"/>
                <w:szCs w:val="21"/>
              </w:rPr>
              <w:t>保补丁程序如涉及数据、接口、业务流程的重大变化，工程师到医院现场进行技术培训和维护指导。</w:t>
            </w:r>
          </w:p>
        </w:tc>
      </w:tr>
      <w:tr w:rsidR="00051717" w:rsidRPr="00D011C0" w:rsidTr="00D6080E">
        <w:tc>
          <w:tcPr>
            <w:tcW w:w="1843" w:type="dxa"/>
            <w:vMerge w:val="restart"/>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协助制定和演练</w:t>
            </w:r>
            <w:proofErr w:type="gramStart"/>
            <w:r w:rsidRPr="00D011C0">
              <w:rPr>
                <w:rFonts w:ascii="宋体" w:hAnsi="宋体" w:hint="eastAsia"/>
                <w:szCs w:val="21"/>
              </w:rPr>
              <w:t>医</w:t>
            </w:r>
            <w:proofErr w:type="gramEnd"/>
            <w:r w:rsidRPr="00D011C0">
              <w:rPr>
                <w:rFonts w:ascii="宋体" w:hAnsi="宋体" w:hint="eastAsia"/>
                <w:szCs w:val="21"/>
              </w:rPr>
              <w:t>保业务应急方案</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协助医院制定HIS系统故障的应急方案。</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协助医院制定</w:t>
            </w:r>
            <w:proofErr w:type="gramStart"/>
            <w:r w:rsidRPr="00D011C0">
              <w:rPr>
                <w:rFonts w:ascii="宋体" w:hAnsi="宋体" w:hint="eastAsia"/>
                <w:szCs w:val="21"/>
              </w:rPr>
              <w:t>医</w:t>
            </w:r>
            <w:proofErr w:type="gramEnd"/>
            <w:r w:rsidRPr="00D011C0">
              <w:rPr>
                <w:rFonts w:ascii="宋体" w:hAnsi="宋体" w:hint="eastAsia"/>
                <w:szCs w:val="21"/>
              </w:rPr>
              <w:t>保专网接入故障的应急方案。</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协助医院制定院内局域网故障的应急方案。</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协助医院对各种应急方案进行演练。</w:t>
            </w:r>
          </w:p>
        </w:tc>
      </w:tr>
      <w:tr w:rsidR="00051717" w:rsidRPr="00D011C0" w:rsidTr="00D6080E">
        <w:tc>
          <w:tcPr>
            <w:tcW w:w="1843" w:type="dxa"/>
            <w:vMerge w:val="restart"/>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定期现场巡检</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工程师至少每月1次到医院现场，对整个</w:t>
            </w:r>
            <w:proofErr w:type="gramStart"/>
            <w:r w:rsidRPr="00D011C0">
              <w:rPr>
                <w:rFonts w:ascii="宋体" w:hAnsi="宋体" w:hint="eastAsia"/>
                <w:szCs w:val="21"/>
              </w:rPr>
              <w:t>医</w:t>
            </w:r>
            <w:proofErr w:type="gramEnd"/>
            <w:r w:rsidRPr="00D011C0">
              <w:rPr>
                <w:rFonts w:ascii="宋体" w:hAnsi="宋体" w:hint="eastAsia"/>
                <w:szCs w:val="21"/>
              </w:rPr>
              <w:t>保信息系统进行健康检查和巡检。</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为医院提供书面的巡检报告。</w:t>
            </w:r>
          </w:p>
        </w:tc>
      </w:tr>
      <w:tr w:rsidR="00051717" w:rsidRPr="00D011C0" w:rsidTr="00D6080E">
        <w:tc>
          <w:tcPr>
            <w:tcW w:w="1843"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提供个性化</w:t>
            </w:r>
          </w:p>
          <w:p w:rsidR="00051717" w:rsidRPr="00D011C0" w:rsidRDefault="00051717" w:rsidP="00D6080E">
            <w:pPr>
              <w:spacing w:line="360" w:lineRule="auto"/>
              <w:rPr>
                <w:rFonts w:ascii="宋体" w:hAnsi="宋体"/>
                <w:szCs w:val="21"/>
              </w:rPr>
            </w:pPr>
            <w:r w:rsidRPr="00D011C0">
              <w:rPr>
                <w:rFonts w:ascii="宋体" w:hAnsi="宋体" w:hint="eastAsia"/>
                <w:szCs w:val="21"/>
              </w:rPr>
              <w:t>培训服务</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为医院提供各种个性化的专门培训，培训内容包括集群系统的运维知识、</w:t>
            </w:r>
            <w:proofErr w:type="gramStart"/>
            <w:r w:rsidRPr="00D011C0">
              <w:rPr>
                <w:rFonts w:ascii="宋体" w:hAnsi="宋体" w:hint="eastAsia"/>
                <w:szCs w:val="21"/>
              </w:rPr>
              <w:t>医</w:t>
            </w:r>
            <w:proofErr w:type="gramEnd"/>
            <w:r w:rsidRPr="00D011C0">
              <w:rPr>
                <w:rFonts w:ascii="宋体" w:hAnsi="宋体" w:hint="eastAsia"/>
                <w:szCs w:val="21"/>
              </w:rPr>
              <w:t>保应用软件的操作、</w:t>
            </w:r>
            <w:proofErr w:type="gramStart"/>
            <w:r w:rsidRPr="00D011C0">
              <w:rPr>
                <w:rFonts w:ascii="宋体" w:hAnsi="宋体" w:hint="eastAsia"/>
                <w:szCs w:val="21"/>
              </w:rPr>
              <w:t>医</w:t>
            </w:r>
            <w:proofErr w:type="gramEnd"/>
            <w:r w:rsidRPr="00D011C0">
              <w:rPr>
                <w:rFonts w:ascii="宋体" w:hAnsi="宋体" w:hint="eastAsia"/>
                <w:szCs w:val="21"/>
              </w:rPr>
              <w:t>保业务流程、</w:t>
            </w:r>
            <w:proofErr w:type="gramStart"/>
            <w:r w:rsidRPr="00D011C0">
              <w:rPr>
                <w:rFonts w:ascii="宋体" w:hAnsi="宋体" w:hint="eastAsia"/>
                <w:szCs w:val="21"/>
              </w:rPr>
              <w:t>医</w:t>
            </w:r>
            <w:proofErr w:type="gramEnd"/>
            <w:r w:rsidRPr="00D011C0">
              <w:rPr>
                <w:rFonts w:ascii="宋体" w:hAnsi="宋体" w:hint="eastAsia"/>
                <w:szCs w:val="21"/>
              </w:rPr>
              <w:t>保系统与HIS系统的对接等</w:t>
            </w:r>
          </w:p>
        </w:tc>
      </w:tr>
      <w:tr w:rsidR="00051717" w:rsidRPr="00D011C0" w:rsidTr="00D6080E">
        <w:tc>
          <w:tcPr>
            <w:tcW w:w="1843"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提供适当驻场服务</w:t>
            </w:r>
          </w:p>
        </w:tc>
        <w:tc>
          <w:tcPr>
            <w:tcW w:w="6521" w:type="dxa"/>
            <w:vAlign w:val="center"/>
          </w:tcPr>
          <w:p w:rsidR="00051717" w:rsidRPr="00D011C0" w:rsidRDefault="00761535" w:rsidP="00D6080E">
            <w:pPr>
              <w:spacing w:line="360" w:lineRule="auto"/>
              <w:rPr>
                <w:rFonts w:ascii="宋体" w:hAnsi="宋体"/>
                <w:szCs w:val="21"/>
              </w:rPr>
            </w:pPr>
            <w:r>
              <w:rPr>
                <w:rFonts w:ascii="宋体" w:hAnsi="宋体" w:hint="eastAsia"/>
                <w:szCs w:val="21"/>
              </w:rPr>
              <w:t>医院系统切换、重大事件等情况，</w:t>
            </w:r>
            <w:r w:rsidR="00051717" w:rsidRPr="00D011C0">
              <w:rPr>
                <w:rFonts w:ascii="宋体" w:hAnsi="宋体" w:hint="eastAsia"/>
                <w:szCs w:val="21"/>
              </w:rPr>
              <w:t>公司可派工程师提供短期</w:t>
            </w:r>
            <w:proofErr w:type="gramStart"/>
            <w:r w:rsidR="00051717" w:rsidRPr="00D011C0">
              <w:rPr>
                <w:rFonts w:ascii="宋体" w:hAnsi="宋体" w:hint="eastAsia"/>
                <w:szCs w:val="21"/>
              </w:rPr>
              <w:t>驻医院</w:t>
            </w:r>
            <w:proofErr w:type="gramEnd"/>
            <w:r w:rsidR="00051717" w:rsidRPr="00D011C0">
              <w:rPr>
                <w:rFonts w:ascii="宋体" w:hAnsi="宋体" w:hint="eastAsia"/>
                <w:szCs w:val="21"/>
              </w:rPr>
              <w:t>现场服务。</w:t>
            </w:r>
          </w:p>
        </w:tc>
      </w:tr>
      <w:tr w:rsidR="00051717" w:rsidRPr="00D011C0" w:rsidTr="00D6080E">
        <w:tc>
          <w:tcPr>
            <w:tcW w:w="1843" w:type="dxa"/>
            <w:vMerge w:val="restart"/>
            <w:vAlign w:val="center"/>
          </w:tcPr>
          <w:p w:rsidR="00051717" w:rsidRPr="00D011C0" w:rsidRDefault="00051717" w:rsidP="00D6080E">
            <w:pPr>
              <w:spacing w:line="360" w:lineRule="auto"/>
              <w:rPr>
                <w:rFonts w:ascii="宋体" w:hAnsi="宋体"/>
                <w:szCs w:val="21"/>
              </w:rPr>
            </w:pPr>
            <w:proofErr w:type="gramStart"/>
            <w:r w:rsidRPr="00D011C0">
              <w:rPr>
                <w:rFonts w:ascii="宋体" w:hAnsi="宋体" w:hint="eastAsia"/>
                <w:szCs w:val="21"/>
              </w:rPr>
              <w:t>医</w:t>
            </w:r>
            <w:proofErr w:type="gramEnd"/>
            <w:r w:rsidRPr="00D011C0">
              <w:rPr>
                <w:rFonts w:ascii="宋体" w:hAnsi="宋体" w:hint="eastAsia"/>
                <w:szCs w:val="21"/>
              </w:rPr>
              <w:t>保业务协查服务</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每日巡查医院当天红名单文件下载和更新情况。</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每日巡查医院</w:t>
            </w:r>
            <w:proofErr w:type="gramStart"/>
            <w:r w:rsidRPr="00D011C0">
              <w:rPr>
                <w:rFonts w:ascii="宋体" w:hAnsi="宋体" w:hint="eastAsia"/>
                <w:szCs w:val="21"/>
              </w:rPr>
              <w:t>医保数据</w:t>
            </w:r>
            <w:proofErr w:type="gramEnd"/>
            <w:r w:rsidRPr="00D011C0">
              <w:rPr>
                <w:rFonts w:ascii="宋体" w:hAnsi="宋体" w:hint="eastAsia"/>
                <w:szCs w:val="21"/>
              </w:rPr>
              <w:t>上传及入库情况。</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每日巡查医院</w:t>
            </w:r>
            <w:proofErr w:type="gramStart"/>
            <w:r w:rsidRPr="00D011C0">
              <w:rPr>
                <w:rFonts w:ascii="宋体" w:hAnsi="宋体" w:hint="eastAsia"/>
                <w:szCs w:val="21"/>
              </w:rPr>
              <w:t>医保数据</w:t>
            </w:r>
            <w:proofErr w:type="gramEnd"/>
            <w:r w:rsidRPr="00D011C0">
              <w:rPr>
                <w:rFonts w:ascii="宋体" w:hAnsi="宋体" w:hint="eastAsia"/>
                <w:szCs w:val="21"/>
              </w:rPr>
              <w:t>备份情况。</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巡查医院每个季度病案对照情况.</w:t>
            </w:r>
          </w:p>
        </w:tc>
      </w:tr>
      <w:tr w:rsidR="00051717" w:rsidRPr="00D011C0" w:rsidTr="00D6080E">
        <w:tc>
          <w:tcPr>
            <w:tcW w:w="1843"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服务承诺</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全年</w:t>
            </w:r>
            <w:proofErr w:type="gramStart"/>
            <w:r w:rsidRPr="00D011C0">
              <w:rPr>
                <w:rFonts w:ascii="宋体" w:hAnsi="宋体" w:hint="eastAsia"/>
                <w:szCs w:val="21"/>
              </w:rPr>
              <w:t>医</w:t>
            </w:r>
            <w:proofErr w:type="gramEnd"/>
            <w:r w:rsidRPr="00D011C0">
              <w:rPr>
                <w:rFonts w:ascii="宋体" w:hAnsi="宋体" w:hint="eastAsia"/>
                <w:szCs w:val="21"/>
              </w:rPr>
              <w:t>保系统的可用性大于99.9％</w:t>
            </w:r>
          </w:p>
        </w:tc>
      </w:tr>
    </w:tbl>
    <w:p w:rsidR="00051717" w:rsidRDefault="00051717"/>
    <w:p w:rsidR="005679C6" w:rsidRDefault="005679C6" w:rsidP="00761535">
      <w:pPr>
        <w:rPr>
          <w:sz w:val="28"/>
          <w:szCs w:val="28"/>
        </w:rPr>
      </w:pPr>
      <w:bookmarkStart w:id="0" w:name="_GoBack"/>
      <w:bookmarkEnd w:id="0"/>
      <w:r>
        <w:rPr>
          <w:rFonts w:hint="eastAsia"/>
          <w:sz w:val="28"/>
          <w:szCs w:val="28"/>
        </w:rPr>
        <w:t>其他要求：</w:t>
      </w:r>
    </w:p>
    <w:p w:rsidR="005679C6" w:rsidRPr="00A83193" w:rsidRDefault="005679C6" w:rsidP="005679C6">
      <w:pPr>
        <w:ind w:firstLine="420"/>
        <w:rPr>
          <w:color w:val="E36C0A" w:themeColor="accent6" w:themeShade="BF"/>
          <w:sz w:val="28"/>
          <w:szCs w:val="28"/>
        </w:rPr>
      </w:pPr>
      <w:r w:rsidRPr="00A83193">
        <w:rPr>
          <w:rFonts w:hint="eastAsia"/>
          <w:color w:val="E36C0A" w:themeColor="accent6" w:themeShade="BF"/>
          <w:sz w:val="28"/>
          <w:szCs w:val="28"/>
        </w:rPr>
        <w:t>公司需具备与北京市</w:t>
      </w:r>
      <w:proofErr w:type="gramStart"/>
      <w:r w:rsidRPr="00A83193">
        <w:rPr>
          <w:rFonts w:hint="eastAsia"/>
          <w:color w:val="E36C0A" w:themeColor="accent6" w:themeShade="BF"/>
          <w:sz w:val="28"/>
          <w:szCs w:val="28"/>
        </w:rPr>
        <w:t>医</w:t>
      </w:r>
      <w:proofErr w:type="gramEnd"/>
      <w:r w:rsidRPr="00A83193">
        <w:rPr>
          <w:rFonts w:hint="eastAsia"/>
          <w:color w:val="E36C0A" w:themeColor="accent6" w:themeShade="BF"/>
          <w:sz w:val="28"/>
          <w:szCs w:val="28"/>
        </w:rPr>
        <w:t>保中心、各区县</w:t>
      </w:r>
      <w:proofErr w:type="gramStart"/>
      <w:r w:rsidRPr="00A83193">
        <w:rPr>
          <w:rFonts w:hint="eastAsia"/>
          <w:color w:val="E36C0A" w:themeColor="accent6" w:themeShade="BF"/>
          <w:sz w:val="28"/>
          <w:szCs w:val="28"/>
        </w:rPr>
        <w:t>医</w:t>
      </w:r>
      <w:proofErr w:type="gramEnd"/>
      <w:r w:rsidRPr="00A83193">
        <w:rPr>
          <w:rFonts w:hint="eastAsia"/>
          <w:color w:val="E36C0A" w:themeColor="accent6" w:themeShade="BF"/>
          <w:sz w:val="28"/>
          <w:szCs w:val="28"/>
        </w:rPr>
        <w:t>保中心以及</w:t>
      </w:r>
      <w:proofErr w:type="gramStart"/>
      <w:r w:rsidRPr="00A83193">
        <w:rPr>
          <w:rFonts w:hint="eastAsia"/>
          <w:color w:val="E36C0A" w:themeColor="accent6" w:themeShade="BF"/>
          <w:sz w:val="28"/>
          <w:szCs w:val="28"/>
        </w:rPr>
        <w:t>医保相关</w:t>
      </w:r>
      <w:proofErr w:type="gramEnd"/>
      <w:r w:rsidRPr="00A83193">
        <w:rPr>
          <w:rFonts w:hint="eastAsia"/>
          <w:color w:val="E36C0A" w:themeColor="accent6" w:themeShade="BF"/>
          <w:sz w:val="28"/>
          <w:szCs w:val="28"/>
        </w:rPr>
        <w:t>的上级单位有良好的沟通机制，能够正确解读</w:t>
      </w:r>
      <w:proofErr w:type="gramStart"/>
      <w:r w:rsidRPr="00A83193">
        <w:rPr>
          <w:rFonts w:hint="eastAsia"/>
          <w:color w:val="E36C0A" w:themeColor="accent6" w:themeShade="BF"/>
          <w:sz w:val="28"/>
          <w:szCs w:val="28"/>
        </w:rPr>
        <w:t>医</w:t>
      </w:r>
      <w:proofErr w:type="gramEnd"/>
      <w:r w:rsidRPr="00A83193">
        <w:rPr>
          <w:rFonts w:hint="eastAsia"/>
          <w:color w:val="E36C0A" w:themeColor="accent6" w:themeShade="BF"/>
          <w:sz w:val="28"/>
          <w:szCs w:val="28"/>
        </w:rPr>
        <w:t>保政策，协助医院处理</w:t>
      </w:r>
      <w:proofErr w:type="gramStart"/>
      <w:r w:rsidRPr="00A83193">
        <w:rPr>
          <w:rFonts w:hint="eastAsia"/>
          <w:color w:val="E36C0A" w:themeColor="accent6" w:themeShade="BF"/>
          <w:sz w:val="28"/>
          <w:szCs w:val="28"/>
        </w:rPr>
        <w:t>医保相关</w:t>
      </w:r>
      <w:proofErr w:type="gramEnd"/>
      <w:r w:rsidRPr="00A83193">
        <w:rPr>
          <w:rFonts w:hint="eastAsia"/>
          <w:color w:val="E36C0A" w:themeColor="accent6" w:themeShade="BF"/>
          <w:sz w:val="28"/>
          <w:szCs w:val="28"/>
        </w:rPr>
        <w:t>的数据问题。</w:t>
      </w:r>
    </w:p>
    <w:p w:rsidR="00DE065E" w:rsidRPr="008C2A09" w:rsidRDefault="00DE065E">
      <w:pPr>
        <w:rPr>
          <w:sz w:val="28"/>
          <w:szCs w:val="28"/>
        </w:rPr>
      </w:pPr>
    </w:p>
    <w:sectPr w:rsidR="00DE065E" w:rsidRPr="008C2A09" w:rsidSect="007615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065E"/>
    <w:rsid w:val="00045BD4"/>
    <w:rsid w:val="00051717"/>
    <w:rsid w:val="000A2F82"/>
    <w:rsid w:val="000F2B22"/>
    <w:rsid w:val="002A10D9"/>
    <w:rsid w:val="00331767"/>
    <w:rsid w:val="00350027"/>
    <w:rsid w:val="003576A6"/>
    <w:rsid w:val="00363C23"/>
    <w:rsid w:val="00363C70"/>
    <w:rsid w:val="004D7413"/>
    <w:rsid w:val="004F0E62"/>
    <w:rsid w:val="005679C6"/>
    <w:rsid w:val="00590121"/>
    <w:rsid w:val="005E0E48"/>
    <w:rsid w:val="006A007B"/>
    <w:rsid w:val="00761535"/>
    <w:rsid w:val="008126DD"/>
    <w:rsid w:val="00855C53"/>
    <w:rsid w:val="008C2A09"/>
    <w:rsid w:val="00A17C1B"/>
    <w:rsid w:val="00A77457"/>
    <w:rsid w:val="00A83193"/>
    <w:rsid w:val="00B471EC"/>
    <w:rsid w:val="00CB19CA"/>
    <w:rsid w:val="00D1423A"/>
    <w:rsid w:val="00D576CB"/>
    <w:rsid w:val="00DE065E"/>
    <w:rsid w:val="00E93443"/>
    <w:rsid w:val="00F73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3</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dell</cp:lastModifiedBy>
  <cp:revision>18</cp:revision>
  <dcterms:created xsi:type="dcterms:W3CDTF">2017-03-16T03:23:00Z</dcterms:created>
  <dcterms:modified xsi:type="dcterms:W3CDTF">2017-03-21T00:20:00Z</dcterms:modified>
</cp:coreProperties>
</file>