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59" w:rsidRDefault="007B7D59" w:rsidP="00AF75DA">
      <w:pPr>
        <w:spacing w:line="380" w:lineRule="exact"/>
        <w:jc w:val="center"/>
        <w:rPr>
          <w:b/>
          <w:bCs/>
          <w:sz w:val="32"/>
        </w:rPr>
      </w:pPr>
      <w:r>
        <w:rPr>
          <w:rFonts w:hint="eastAsia"/>
          <w:b/>
          <w:bCs/>
          <w:sz w:val="32"/>
        </w:rPr>
        <w:t>交换机技术要求</w:t>
      </w:r>
    </w:p>
    <w:p w:rsidR="00AF75DA" w:rsidRDefault="00AF75DA" w:rsidP="00AF75DA">
      <w:pPr>
        <w:spacing w:line="380" w:lineRule="exact"/>
        <w:jc w:val="center"/>
        <w:rPr>
          <w:b/>
          <w:bCs/>
          <w:sz w:val="32"/>
        </w:rPr>
      </w:pP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系统应本着经济性、实用性、可扩充性、可靠性、开放性、先进性和安全性为原则，满足数字化的要求，在设计该综合布线系统时，既要满足目前当前需要，又要兼顾未来信息化发展的要求，具有一种前瞻性。</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信息点的布置可参见相关图纸，系统接入机房设在负一层弱电间。需在弱电间设置相应配线架，但要结合本工程的实际和相关规范采用合理的配线形式。</w:t>
      </w:r>
    </w:p>
    <w:p w:rsidR="007B7D59" w:rsidRPr="009E4C53" w:rsidRDefault="007B7D59" w:rsidP="007B7D59">
      <w:pPr>
        <w:pStyle w:val="text"/>
        <w:spacing w:before="0" w:beforeAutospacing="0" w:after="0" w:afterAutospacing="0" w:line="360" w:lineRule="auto"/>
        <w:outlineLvl w:val="0"/>
        <w:rPr>
          <w:rFonts w:ascii="宋体" w:hAnsi="宋体"/>
          <w:b/>
          <w:color w:val="auto"/>
          <w:sz w:val="21"/>
          <w:szCs w:val="21"/>
          <w:lang w:val="en-GB"/>
        </w:rPr>
      </w:pPr>
      <w:r w:rsidRPr="009E4C53">
        <w:rPr>
          <w:rFonts w:ascii="宋体" w:hAnsi="宋体" w:hint="eastAsia"/>
          <w:b/>
          <w:color w:val="auto"/>
          <w:sz w:val="21"/>
          <w:szCs w:val="21"/>
          <w:lang w:val="en-GB"/>
        </w:rPr>
        <w:t>1）光缆传输主干子系统</w:t>
      </w:r>
    </w:p>
    <w:p w:rsidR="007B7D59" w:rsidRPr="009E4C53" w:rsidRDefault="007B7D59" w:rsidP="009E4C53">
      <w:pPr>
        <w:spacing w:line="360" w:lineRule="auto"/>
        <w:ind w:firstLineChars="182" w:firstLine="382"/>
        <w:rPr>
          <w:rFonts w:ascii="宋体" w:hAnsi="宋体"/>
          <w:szCs w:val="21"/>
        </w:rPr>
      </w:pPr>
      <w:r w:rsidRPr="009E4C53">
        <w:rPr>
          <w:rFonts w:ascii="宋体" w:hAnsi="宋体" w:hint="eastAsia"/>
          <w:szCs w:val="21"/>
        </w:rPr>
        <w:t>内网连接到主机房采用24芯单模光钎。</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垂直光纤主干部分采用19英寸机柜式光纤配线架，可以端接多芯光纤。</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光纤跳线、尾纤及相应的耦合器应采用LC标准，方便和其他网络设备的连接。</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光纤采用光纤机柜式配线架，并配有足够的光纤耦合器，及制造商原厂光纤跳线。</w:t>
      </w:r>
    </w:p>
    <w:p w:rsidR="007B7D59" w:rsidRPr="009E4C53" w:rsidRDefault="007B7D59" w:rsidP="007B7D59">
      <w:pPr>
        <w:pStyle w:val="text"/>
        <w:spacing w:before="0" w:beforeAutospacing="0" w:after="0" w:afterAutospacing="0" w:line="360" w:lineRule="auto"/>
        <w:outlineLvl w:val="0"/>
        <w:rPr>
          <w:rFonts w:ascii="宋体" w:hAnsi="宋体"/>
          <w:b/>
          <w:color w:val="auto"/>
          <w:sz w:val="21"/>
          <w:szCs w:val="21"/>
          <w:lang w:val="en-GB"/>
        </w:rPr>
      </w:pPr>
      <w:r w:rsidRPr="009E4C53">
        <w:rPr>
          <w:rFonts w:ascii="宋体" w:hAnsi="宋体" w:hint="eastAsia"/>
          <w:b/>
          <w:color w:val="auto"/>
          <w:sz w:val="21"/>
          <w:szCs w:val="21"/>
          <w:lang w:val="en-GB"/>
        </w:rPr>
        <w:t>2)系统总体性能要求</w:t>
      </w:r>
    </w:p>
    <w:p w:rsidR="007B7D59" w:rsidRPr="009E4C53" w:rsidRDefault="007B7D59" w:rsidP="007B7D59">
      <w:pPr>
        <w:spacing w:line="360" w:lineRule="auto"/>
        <w:ind w:firstLine="200"/>
        <w:rPr>
          <w:rFonts w:ascii="宋体" w:hAnsi="宋体"/>
          <w:szCs w:val="21"/>
        </w:rPr>
      </w:pPr>
      <w:r w:rsidRPr="009E4C53">
        <w:rPr>
          <w:rFonts w:ascii="宋体" w:hAnsi="宋体" w:hint="eastAsia"/>
          <w:szCs w:val="21"/>
        </w:rPr>
        <w:t>1、设备厂商及综合布线系统产品必须通过ISO9001、UL系列认证，符合国际ISO/11801，美国ANSI/TIA/EIA568-B及欧洲EN 50173等标准。</w:t>
      </w:r>
    </w:p>
    <w:p w:rsidR="007B7D59" w:rsidRPr="009E4C53" w:rsidRDefault="007B7D59" w:rsidP="007B7D59">
      <w:pPr>
        <w:spacing w:line="360" w:lineRule="auto"/>
        <w:ind w:firstLine="200"/>
        <w:rPr>
          <w:rFonts w:ascii="宋体" w:hAnsi="宋体"/>
          <w:szCs w:val="21"/>
        </w:rPr>
      </w:pPr>
      <w:r w:rsidRPr="009E4C53">
        <w:rPr>
          <w:rFonts w:ascii="宋体" w:hAnsi="宋体" w:hint="eastAsia"/>
          <w:szCs w:val="21"/>
        </w:rPr>
        <w:t>2、综合布线产品必须具有信息产业部或国家质量监督检验部门的第三方测试报告。</w:t>
      </w:r>
    </w:p>
    <w:p w:rsidR="007B7D59" w:rsidRPr="009E4C53" w:rsidRDefault="007B7D59" w:rsidP="007B7D59">
      <w:pPr>
        <w:spacing w:line="360" w:lineRule="auto"/>
        <w:ind w:firstLine="200"/>
        <w:rPr>
          <w:rFonts w:ascii="宋体" w:hAnsi="宋体"/>
          <w:szCs w:val="21"/>
        </w:rPr>
      </w:pPr>
      <w:r w:rsidRPr="009E4C53">
        <w:rPr>
          <w:rFonts w:ascii="宋体" w:hAnsi="宋体" w:hint="eastAsia"/>
          <w:szCs w:val="21"/>
        </w:rPr>
        <w:t>3、为保证整个系统的稳定性和整个系统的质保以及以后对系统的维护的方便，所有布线产品：大对数、配线架、模块、面板、数据跳线、光缆、光纤配线架、耦合器、光跳线、尾纤等需选用同一厂家产品。</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4、所有布线产品均需具有品牌持有人供货确认函，方可进场施工。</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5、信息模块接口处经过特殊处理，采用IDC触点（绝缘位移触点）方式，不用焊接，不用螺丝，不用剥除导线的绝缘层，簧片采用镀金的合金铜，保证触点二十年内不会腐蚀，以达到最好的传输性能，避免人工接线的错误。</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6、信息点均采用模块化配线架进行管理，便于施工与维护。</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7、光纤尾纤熔接必须一次性完成。</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8、所有布线产品要求采用国际知名品牌的成熟的、标准化的、模块化的产品，保证整个系统快速、稳定地运行，并可获取原厂家的15年以上产品质量及系统应用的保证。</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9、所有标签必须采用电脑或打字机打印，色标必须符合EIA/TIA 606布线管理规范。</w:t>
      </w:r>
    </w:p>
    <w:p w:rsidR="007B7D59" w:rsidRPr="009E4C53" w:rsidRDefault="007B7D59" w:rsidP="007B7D59">
      <w:pPr>
        <w:spacing w:line="360" w:lineRule="auto"/>
        <w:ind w:firstLine="420"/>
        <w:rPr>
          <w:rFonts w:ascii="宋体" w:hAnsi="宋体"/>
          <w:szCs w:val="21"/>
        </w:rPr>
      </w:pPr>
      <w:r w:rsidRPr="009E4C53">
        <w:rPr>
          <w:rFonts w:ascii="宋体" w:hAnsi="宋体" w:hint="eastAsia"/>
          <w:szCs w:val="21"/>
        </w:rPr>
        <w:t>10、布线后应进行相应测试且测试标准应符合GB/T 50312-200《建筑与建筑群综合布线系统工程验收规范》的规定，形成测试报告存档。</w:t>
      </w:r>
    </w:p>
    <w:p w:rsidR="00AF75DA" w:rsidRPr="009E4C53" w:rsidRDefault="00AF75DA" w:rsidP="007B7D59">
      <w:pPr>
        <w:spacing w:line="360" w:lineRule="auto"/>
        <w:ind w:firstLine="420"/>
        <w:rPr>
          <w:rFonts w:ascii="宋体" w:hAnsi="宋体"/>
          <w:szCs w:val="21"/>
        </w:rPr>
      </w:pPr>
      <w:r w:rsidRPr="009E4C53">
        <w:rPr>
          <w:rFonts w:ascii="宋体" w:hAnsi="宋体" w:hint="eastAsia"/>
          <w:szCs w:val="21"/>
        </w:rPr>
        <w:lastRenderedPageBreak/>
        <w:t>11、设备保修3年</w:t>
      </w:r>
    </w:p>
    <w:p w:rsidR="007B7D59" w:rsidRPr="009E4C53" w:rsidRDefault="007B7D59" w:rsidP="009E4C53">
      <w:pPr>
        <w:spacing w:line="360" w:lineRule="auto"/>
        <w:ind w:firstLineChars="200" w:firstLine="422"/>
        <w:outlineLvl w:val="0"/>
        <w:rPr>
          <w:rFonts w:ascii="宋体" w:hAnsi="宋体"/>
          <w:b/>
          <w:szCs w:val="21"/>
        </w:rPr>
      </w:pPr>
      <w:r w:rsidRPr="009E4C53">
        <w:rPr>
          <w:rFonts w:ascii="宋体" w:hAnsi="宋体" w:hint="eastAsia"/>
          <w:b/>
          <w:szCs w:val="21"/>
        </w:rPr>
        <w:t>3)网络设备选择</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网络设备要保证其技术的先进性、兼容性、可扩展性、可维护性、高性价比、良好的售后服务支持及在新技术到来时能使原有产品平滑升级，保护用户投资。</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网络设备：</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核心交换机应能提供足够多的1000M光纤接口，以及10M/100M自适应以太网口；具有第三层交换及路由功能；背板带宽应在30G以上，数据交换速率在100M以上；支持多业务，如：数据、语音等。</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网络管理：</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外网采用Windows或者UNIX，LINOX操作系统；内网操作系统一律采用XXX系统；包括以下功能：配置管理、性能管理、安全管理、故障管理；能生成报表或日志。</w:t>
      </w:r>
    </w:p>
    <w:p w:rsidR="007B7D59" w:rsidRPr="009E4C53" w:rsidRDefault="007B7D59" w:rsidP="009E4C53">
      <w:pPr>
        <w:spacing w:line="360" w:lineRule="auto"/>
        <w:ind w:firstLineChars="200" w:firstLine="422"/>
        <w:outlineLvl w:val="0"/>
        <w:rPr>
          <w:rFonts w:ascii="宋体"/>
          <w:b/>
          <w:szCs w:val="21"/>
        </w:rPr>
      </w:pPr>
      <w:r w:rsidRPr="009E4C53">
        <w:rPr>
          <w:rFonts w:ascii="宋体" w:hint="eastAsia"/>
          <w:b/>
          <w:szCs w:val="21"/>
        </w:rPr>
        <w:t>4）核心交换机性能要求（2台）</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交换容量19.8Tbps/48Tbps包转发率2880Mpps/16500Mpps业务槽位数量3个，电源、主控冗余，配置24光口主控，24电口主控；</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支持VXLAN 二层交换</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支持VXLAN 路由交换</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支持VXLAN 网关</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支持IS-IS+ENDP的VXLAN分布式控制平面</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w:t>
      </w:r>
      <w:proofErr w:type="spellStart"/>
      <w:r w:rsidRPr="009E4C53">
        <w:rPr>
          <w:rFonts w:ascii="宋体" w:hAnsi="宋体" w:hint="eastAsia"/>
          <w:szCs w:val="21"/>
        </w:rPr>
        <w:t>OpenFlow+Netconf</w:t>
      </w:r>
      <w:proofErr w:type="spellEnd"/>
      <w:r w:rsidRPr="009E4C53">
        <w:rPr>
          <w:rFonts w:ascii="宋体" w:hAnsi="宋体" w:hint="eastAsia"/>
          <w:szCs w:val="21"/>
        </w:rPr>
        <w:t>的VXLAN集中式控制平面</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w:t>
      </w:r>
      <w:proofErr w:type="spellStart"/>
      <w:r w:rsidRPr="009E4C53">
        <w:rPr>
          <w:rFonts w:ascii="宋体" w:hAnsi="宋体" w:hint="eastAsia"/>
          <w:szCs w:val="21"/>
        </w:rPr>
        <w:t>Ansible</w:t>
      </w:r>
      <w:proofErr w:type="spellEnd"/>
      <w:r w:rsidRPr="009E4C53">
        <w:rPr>
          <w:rFonts w:ascii="宋体" w:hAnsi="宋体" w:hint="eastAsia"/>
          <w:szCs w:val="21"/>
        </w:rPr>
        <w:t>自动化配置，实现网络配置批量发放</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支持通过Python/NETCONF/TCL等对网络自动化编排，实现</w:t>
      </w:r>
      <w:proofErr w:type="spellStart"/>
      <w:r w:rsidRPr="009E4C53">
        <w:rPr>
          <w:rFonts w:ascii="宋体" w:hAnsi="宋体" w:hint="eastAsia"/>
          <w:szCs w:val="21"/>
        </w:rPr>
        <w:t>DevOps</w:t>
      </w:r>
      <w:proofErr w:type="spellEnd"/>
      <w:r w:rsidRPr="009E4C53">
        <w:rPr>
          <w:rFonts w:ascii="宋体" w:hAnsi="宋体" w:hint="eastAsia"/>
          <w:szCs w:val="21"/>
        </w:rPr>
        <w:t>自动化运维</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支持OPENFLOW 1.3标准</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支持多控制器（EQUAL模式、主备模式）</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支持多表流水线</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支持Group table</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支持Meter</w:t>
      </w:r>
    </w:p>
    <w:p w:rsidR="007B7D59" w:rsidRPr="009E4C53" w:rsidRDefault="007B7D59" w:rsidP="009E4C53">
      <w:pPr>
        <w:spacing w:line="360" w:lineRule="auto"/>
        <w:ind w:firstLineChars="200" w:firstLine="422"/>
        <w:rPr>
          <w:rFonts w:ascii="宋体" w:hAnsi="宋体"/>
          <w:b/>
          <w:szCs w:val="21"/>
        </w:rPr>
      </w:pPr>
      <w:r w:rsidRPr="009E4C53">
        <w:rPr>
          <w:rFonts w:ascii="宋体" w:hAnsi="宋体" w:hint="eastAsia"/>
          <w:b/>
          <w:szCs w:val="21"/>
        </w:rPr>
        <w:t>5）路由交换机性能要求（1台）</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千兆综合业务网关(4GE Combo+2SFP,支持双电源,1U支持Ethernet，Ethernet II，VLAN（VLAN-BASED PORT VLAN，VOICE VLAN，Guest VLAN），802.3x， 802.1p，802.1Q，802.1x，STP(802.1D) ，RSTP(802.1w)，MSTP(802.1s)，PPP、PPPOE Client、PPPOE Server、HDLC、</w:t>
      </w:r>
      <w:r w:rsidRPr="009E4C53">
        <w:rPr>
          <w:rFonts w:ascii="宋体" w:hAnsi="宋体" w:hint="eastAsia"/>
          <w:szCs w:val="21"/>
        </w:rPr>
        <w:lastRenderedPageBreak/>
        <w:t xml:space="preserve">DDR、Modem、ISDN等；支持单播转发/组播转发，TCP，UDP，IP Option，IP </w:t>
      </w:r>
      <w:proofErr w:type="spellStart"/>
      <w:r w:rsidRPr="009E4C53">
        <w:rPr>
          <w:rFonts w:ascii="宋体" w:hAnsi="宋体" w:hint="eastAsia"/>
          <w:szCs w:val="21"/>
        </w:rPr>
        <w:t>Unnumber</w:t>
      </w:r>
      <w:proofErr w:type="spellEnd"/>
      <w:r w:rsidRPr="009E4C53">
        <w:rPr>
          <w:rFonts w:ascii="宋体" w:hAnsi="宋体" w:hint="eastAsia"/>
          <w:szCs w:val="21"/>
        </w:rPr>
        <w:t>，策略路由，</w:t>
      </w:r>
      <w:proofErr w:type="spellStart"/>
      <w:r w:rsidRPr="009E4C53">
        <w:rPr>
          <w:rFonts w:ascii="宋体" w:hAnsi="宋体" w:hint="eastAsia"/>
          <w:szCs w:val="21"/>
        </w:rPr>
        <w:t>Netstream</w:t>
      </w:r>
      <w:proofErr w:type="spellEnd"/>
      <w:r w:rsidRPr="009E4C53">
        <w:rPr>
          <w:rFonts w:ascii="宋体" w:hAnsi="宋体" w:hint="eastAsia"/>
          <w:szCs w:val="21"/>
        </w:rPr>
        <w:t>，</w:t>
      </w:r>
      <w:proofErr w:type="spellStart"/>
      <w:r w:rsidRPr="009E4C53">
        <w:rPr>
          <w:rFonts w:ascii="宋体" w:hAnsi="宋体" w:hint="eastAsia"/>
          <w:szCs w:val="21"/>
        </w:rPr>
        <w:t>sFlow</w:t>
      </w:r>
      <w:proofErr w:type="spellEnd"/>
      <w:r w:rsidRPr="009E4C53">
        <w:rPr>
          <w:rFonts w:ascii="宋体" w:hAnsi="宋体" w:hint="eastAsia"/>
          <w:szCs w:val="21"/>
        </w:rPr>
        <w:t>等，静态路由</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动态路由协议：RIPv1/v2、OSPFv2、BGP、IS-IS路由迭代路由策略ECMP（等价多路径）</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组播路由协议：IGMPV1/V2/V3，PIM-DM，PIM-SM，MBGP，MSDP</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支持Ipv6 ND，Ipv6 PMTU，Ipv6 FIB，Ipv6 ACL，NAT-PT，Ipv6隧道，6PE、DS-LITE；</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IPv6隧道技术：手工隧道，自动隧道，GRE隧道，6to4，ISATAP静态路由</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动态路由协议：</w:t>
      </w:r>
      <w:proofErr w:type="spellStart"/>
      <w:r w:rsidRPr="009E4C53">
        <w:rPr>
          <w:rFonts w:ascii="宋体" w:hAnsi="宋体" w:hint="eastAsia"/>
          <w:szCs w:val="21"/>
        </w:rPr>
        <w:t>RIPng</w:t>
      </w:r>
      <w:proofErr w:type="spellEnd"/>
      <w:r w:rsidRPr="009E4C53">
        <w:rPr>
          <w:rFonts w:ascii="宋体" w:hAnsi="宋体" w:hint="eastAsia"/>
          <w:szCs w:val="21"/>
        </w:rPr>
        <w:t>，OSPFv3，IS-ISv6，BGP4+</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IPv6组播协议：MLD V1/V2，PIM-DM，PIM-SM</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支持VRRP、VRRPv3</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支持基于带宽的负载分担与备份</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支持基于用户（IP地址）的负载分担与备份</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支持NQA同路由、VRRP和接口备份的联动功能，实现端到端链路的检测与备份功能</w:t>
      </w:r>
    </w:p>
    <w:p w:rsidR="007B7D59" w:rsidRPr="009E4C53" w:rsidRDefault="007B7D59" w:rsidP="009E4C53">
      <w:pPr>
        <w:spacing w:line="360" w:lineRule="auto"/>
        <w:ind w:firstLineChars="200" w:firstLine="422"/>
        <w:outlineLvl w:val="0"/>
        <w:rPr>
          <w:rFonts w:ascii="宋体" w:hAnsi="宋体"/>
          <w:b/>
          <w:szCs w:val="21"/>
        </w:rPr>
      </w:pPr>
      <w:r w:rsidRPr="009E4C53">
        <w:rPr>
          <w:rFonts w:ascii="宋体" w:hAnsi="宋体" w:hint="eastAsia"/>
          <w:b/>
          <w:szCs w:val="21"/>
        </w:rPr>
        <w:t>6）24口或48口汇聚交换机性能要求（24口16台，48口6台）</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24口：336Gbps/3.36Tbps   51Mpps/126Mpps，24个10/100/1000Base-T自适应以太网端口，4个千兆SFP口</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48口：432Gbps/4.32Tbps；87Mpps/166Mpps； 48个10/100/1000Base-T自适应以太网端口，4个千兆SFP口支持GE端口聚合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支持10GE端口聚合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支持静态聚合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支持动态聚合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支持跨设备聚合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支持802.3x流控及半双工背压流控</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支持黑洞MAC地址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支持设置端口MAC地址学习最大个数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w:t>
      </w:r>
      <w:proofErr w:type="spellStart"/>
      <w:r w:rsidRPr="009E4C53">
        <w:rPr>
          <w:rFonts w:ascii="宋体" w:hAnsi="宋体" w:hint="eastAsia"/>
          <w:szCs w:val="21"/>
        </w:rPr>
        <w:t>OpenFlow</w:t>
      </w:r>
      <w:proofErr w:type="spellEnd"/>
      <w:r w:rsidRPr="009E4C53">
        <w:rPr>
          <w:rFonts w:ascii="宋体" w:hAnsi="宋体" w:hint="eastAsia"/>
          <w:szCs w:val="21"/>
        </w:rPr>
        <w:t xml:space="preserve"> 1.3标准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支持多控制器（EQUAL模式、主备模式）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支持基于端口的VLAN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w:t>
      </w:r>
      <w:proofErr w:type="spellStart"/>
      <w:r w:rsidRPr="009E4C53">
        <w:rPr>
          <w:rFonts w:ascii="宋体" w:hAnsi="宋体" w:hint="eastAsia"/>
          <w:szCs w:val="21"/>
        </w:rPr>
        <w:t>QinQ</w:t>
      </w:r>
      <w:proofErr w:type="spellEnd"/>
      <w:r w:rsidRPr="009E4C53">
        <w:rPr>
          <w:rFonts w:ascii="宋体" w:hAnsi="宋体" w:hint="eastAsia"/>
          <w:szCs w:val="21"/>
        </w:rPr>
        <w:t>、灵活</w:t>
      </w:r>
      <w:proofErr w:type="spellStart"/>
      <w:r w:rsidRPr="009E4C53">
        <w:rPr>
          <w:rFonts w:ascii="宋体" w:hAnsi="宋体" w:hint="eastAsia"/>
          <w:szCs w:val="21"/>
        </w:rPr>
        <w:t>QinQ</w:t>
      </w:r>
      <w:proofErr w:type="spellEnd"/>
      <w:r w:rsidRPr="009E4C53">
        <w:rPr>
          <w:rFonts w:ascii="宋体" w:hAnsi="宋体" w:hint="eastAsia"/>
          <w:szCs w:val="21"/>
        </w:rPr>
        <w:t xml:space="preserve">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支持Voice VLAN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支持协议VLAN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lastRenderedPageBreak/>
        <w:t xml:space="preserve">支持MAC VLAN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支持免费ARP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支持ARP Detection功能（能够根据DHCP Snooping安全表项、802.1x表项，或IP/MAC静态绑定表项进行检查）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支持ARP限速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支持DHCP Client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支持DHCP Snooping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支持IPv4/IPv6静态路由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支持RIP/</w:t>
      </w:r>
      <w:proofErr w:type="spellStart"/>
      <w:r w:rsidRPr="009E4C53">
        <w:rPr>
          <w:rFonts w:ascii="宋体" w:hAnsi="宋体" w:hint="eastAsia"/>
          <w:szCs w:val="21"/>
        </w:rPr>
        <w:t>RIPng</w:t>
      </w:r>
      <w:proofErr w:type="spellEnd"/>
      <w:r w:rsidRPr="009E4C53">
        <w:rPr>
          <w:rFonts w:ascii="宋体" w:hAnsi="宋体" w:hint="eastAsia"/>
          <w:szCs w:val="21"/>
        </w:rPr>
        <w:t xml:space="preserve">，OSPF v2/v3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支持G.8032以太网环保护协议ERPS，切换时间≤50ms，可兼容其他支持该协议的产品</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支持端口镜像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支持远程镜像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支持Radius认证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支持HWTACACS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支持SSH2.0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支持端口隔离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支持命令行接口（CLI）配置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支持Telnet远程配置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支持通过Console口配置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支持WEB网管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 xml:space="preserve">支持系统日志 </w:t>
      </w:r>
    </w:p>
    <w:p w:rsidR="007B7D59" w:rsidRPr="009E4C53" w:rsidRDefault="007B7D59" w:rsidP="009E4C53">
      <w:pPr>
        <w:spacing w:line="360" w:lineRule="auto"/>
        <w:ind w:firstLineChars="200" w:firstLine="420"/>
        <w:rPr>
          <w:rFonts w:ascii="宋体" w:hAnsi="宋体"/>
          <w:szCs w:val="21"/>
        </w:rPr>
      </w:pPr>
      <w:r w:rsidRPr="009E4C53">
        <w:rPr>
          <w:rFonts w:ascii="宋体" w:hAnsi="宋体" w:hint="eastAsia"/>
          <w:szCs w:val="21"/>
        </w:rPr>
        <w:t>支持分级告警</w:t>
      </w:r>
    </w:p>
    <w:p w:rsidR="00417FCE" w:rsidRPr="009E4C53" w:rsidRDefault="00417FCE">
      <w:pPr>
        <w:rPr>
          <w:szCs w:val="21"/>
        </w:rPr>
      </w:pPr>
    </w:p>
    <w:sectPr w:rsidR="00417FCE" w:rsidRPr="009E4C53" w:rsidSect="002D00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1C7" w:rsidRDefault="000301C7" w:rsidP="00AF75DA">
      <w:r>
        <w:separator/>
      </w:r>
    </w:p>
  </w:endnote>
  <w:endnote w:type="continuationSeparator" w:id="0">
    <w:p w:rsidR="000301C7" w:rsidRDefault="000301C7" w:rsidP="00AF7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1C7" w:rsidRDefault="000301C7" w:rsidP="00AF75DA">
      <w:r>
        <w:separator/>
      </w:r>
    </w:p>
  </w:footnote>
  <w:footnote w:type="continuationSeparator" w:id="0">
    <w:p w:rsidR="000301C7" w:rsidRDefault="000301C7" w:rsidP="00AF7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D59"/>
    <w:rsid w:val="000301C7"/>
    <w:rsid w:val="000573C5"/>
    <w:rsid w:val="000644BD"/>
    <w:rsid w:val="0007127D"/>
    <w:rsid w:val="00082379"/>
    <w:rsid w:val="000865EC"/>
    <w:rsid w:val="000B4298"/>
    <w:rsid w:val="000B46B4"/>
    <w:rsid w:val="000E7ECA"/>
    <w:rsid w:val="00117BD7"/>
    <w:rsid w:val="001923CE"/>
    <w:rsid w:val="001D4AE8"/>
    <w:rsid w:val="002118FE"/>
    <w:rsid w:val="00214799"/>
    <w:rsid w:val="00245B6A"/>
    <w:rsid w:val="002621CE"/>
    <w:rsid w:val="00262434"/>
    <w:rsid w:val="002653AF"/>
    <w:rsid w:val="00267B1E"/>
    <w:rsid w:val="002B1633"/>
    <w:rsid w:val="002F5567"/>
    <w:rsid w:val="00390F23"/>
    <w:rsid w:val="003A24E2"/>
    <w:rsid w:val="003A3167"/>
    <w:rsid w:val="003D0E79"/>
    <w:rsid w:val="004001A8"/>
    <w:rsid w:val="00403A16"/>
    <w:rsid w:val="00417FCE"/>
    <w:rsid w:val="004278DD"/>
    <w:rsid w:val="004510F5"/>
    <w:rsid w:val="004A546A"/>
    <w:rsid w:val="004A5B90"/>
    <w:rsid w:val="004F26D1"/>
    <w:rsid w:val="00502508"/>
    <w:rsid w:val="00525EC9"/>
    <w:rsid w:val="00535929"/>
    <w:rsid w:val="00566F05"/>
    <w:rsid w:val="00601ED7"/>
    <w:rsid w:val="00622B51"/>
    <w:rsid w:val="00623766"/>
    <w:rsid w:val="00674986"/>
    <w:rsid w:val="0068072B"/>
    <w:rsid w:val="006B3A9D"/>
    <w:rsid w:val="006B4D0F"/>
    <w:rsid w:val="006C261F"/>
    <w:rsid w:val="006C2ABC"/>
    <w:rsid w:val="006C7EF6"/>
    <w:rsid w:val="006E0977"/>
    <w:rsid w:val="007100F8"/>
    <w:rsid w:val="00717793"/>
    <w:rsid w:val="007746BA"/>
    <w:rsid w:val="00781F2D"/>
    <w:rsid w:val="00790741"/>
    <w:rsid w:val="007B7D59"/>
    <w:rsid w:val="00801AD3"/>
    <w:rsid w:val="00805EE7"/>
    <w:rsid w:val="008133AD"/>
    <w:rsid w:val="00837477"/>
    <w:rsid w:val="009236C7"/>
    <w:rsid w:val="0094146F"/>
    <w:rsid w:val="009A0A88"/>
    <w:rsid w:val="009E4C53"/>
    <w:rsid w:val="00A13C4F"/>
    <w:rsid w:val="00A144BB"/>
    <w:rsid w:val="00A230A6"/>
    <w:rsid w:val="00A551CE"/>
    <w:rsid w:val="00A55E9D"/>
    <w:rsid w:val="00A65B1B"/>
    <w:rsid w:val="00AA69E9"/>
    <w:rsid w:val="00AE04B0"/>
    <w:rsid w:val="00AF72C7"/>
    <w:rsid w:val="00AF75DA"/>
    <w:rsid w:val="00B16287"/>
    <w:rsid w:val="00BA3DDF"/>
    <w:rsid w:val="00BB5473"/>
    <w:rsid w:val="00BD1683"/>
    <w:rsid w:val="00BE2FFD"/>
    <w:rsid w:val="00BF6B4E"/>
    <w:rsid w:val="00C110FC"/>
    <w:rsid w:val="00C17A56"/>
    <w:rsid w:val="00C456F0"/>
    <w:rsid w:val="00C509D3"/>
    <w:rsid w:val="00C71ABD"/>
    <w:rsid w:val="00C758FA"/>
    <w:rsid w:val="00CD3434"/>
    <w:rsid w:val="00CE579A"/>
    <w:rsid w:val="00D12EF4"/>
    <w:rsid w:val="00D163D1"/>
    <w:rsid w:val="00D33B40"/>
    <w:rsid w:val="00D41CA1"/>
    <w:rsid w:val="00D50DCC"/>
    <w:rsid w:val="00D5512B"/>
    <w:rsid w:val="00D705E3"/>
    <w:rsid w:val="00D84488"/>
    <w:rsid w:val="00D94026"/>
    <w:rsid w:val="00D96EFD"/>
    <w:rsid w:val="00E1667D"/>
    <w:rsid w:val="00E224B0"/>
    <w:rsid w:val="00E766E7"/>
    <w:rsid w:val="00E80E25"/>
    <w:rsid w:val="00EC6D0E"/>
    <w:rsid w:val="00ED2BCC"/>
    <w:rsid w:val="00EE0663"/>
    <w:rsid w:val="00F1476B"/>
    <w:rsid w:val="00F44A40"/>
    <w:rsid w:val="00F4690E"/>
    <w:rsid w:val="00F51ECA"/>
    <w:rsid w:val="00F5449E"/>
    <w:rsid w:val="00F66FD7"/>
    <w:rsid w:val="00F84192"/>
    <w:rsid w:val="00F87C5D"/>
    <w:rsid w:val="00FD207B"/>
    <w:rsid w:val="00FD65E8"/>
    <w:rsid w:val="00FE7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B7D59"/>
    <w:pPr>
      <w:widowControl/>
      <w:spacing w:before="100" w:beforeAutospacing="1" w:after="100" w:afterAutospacing="1"/>
      <w:jc w:val="left"/>
    </w:pPr>
    <w:rPr>
      <w:rFonts w:ascii="ˎ̥" w:hAnsi="ˎ̥" w:cs="宋体"/>
      <w:color w:val="000000"/>
      <w:kern w:val="0"/>
      <w:sz w:val="18"/>
      <w:szCs w:val="18"/>
    </w:rPr>
  </w:style>
  <w:style w:type="paragraph" w:styleId="a3">
    <w:name w:val="header"/>
    <w:basedOn w:val="a"/>
    <w:link w:val="Char"/>
    <w:uiPriority w:val="99"/>
    <w:semiHidden/>
    <w:unhideWhenUsed/>
    <w:rsid w:val="00AF7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75DA"/>
    <w:rPr>
      <w:rFonts w:ascii="Times New Roman" w:eastAsia="宋体" w:hAnsi="Times New Roman" w:cs="Times New Roman"/>
      <w:sz w:val="18"/>
      <w:szCs w:val="18"/>
    </w:rPr>
  </w:style>
  <w:style w:type="paragraph" w:styleId="a4">
    <w:name w:val="footer"/>
    <w:basedOn w:val="a"/>
    <w:link w:val="Char0"/>
    <w:uiPriority w:val="99"/>
    <w:semiHidden/>
    <w:unhideWhenUsed/>
    <w:rsid w:val="00AF75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75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jgc-3</cp:lastModifiedBy>
  <cp:revision>2</cp:revision>
  <cp:lastPrinted>2021-09-10T08:01:00Z</cp:lastPrinted>
  <dcterms:created xsi:type="dcterms:W3CDTF">2021-09-10T08:35:00Z</dcterms:created>
  <dcterms:modified xsi:type="dcterms:W3CDTF">2021-09-10T08:35:00Z</dcterms:modified>
</cp:coreProperties>
</file>