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CF" w:rsidRDefault="000222B0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自测型</w:t>
      </w:r>
      <w:r>
        <w:rPr>
          <w:rFonts w:ascii="仿宋" w:eastAsia="仿宋" w:hAnsi="仿宋" w:hint="eastAsia"/>
          <w:b/>
          <w:bCs/>
        </w:rPr>
        <w:t>F</w:t>
      </w:r>
      <w:r>
        <w:rPr>
          <w:rFonts w:ascii="仿宋" w:eastAsia="仿宋" w:hAnsi="仿宋"/>
          <w:b/>
          <w:bCs/>
        </w:rPr>
        <w:t>IT</w:t>
      </w:r>
      <w:r>
        <w:rPr>
          <w:rFonts w:ascii="仿宋" w:eastAsia="仿宋" w:hAnsi="仿宋" w:hint="eastAsia"/>
          <w:b/>
          <w:bCs/>
        </w:rPr>
        <w:t>招标参数</w:t>
      </w:r>
      <w:r w:rsidR="00E22095">
        <w:rPr>
          <w:rFonts w:ascii="仿宋" w:eastAsia="仿宋" w:hAnsi="仿宋" w:hint="eastAsia"/>
          <w:b/>
          <w:bCs/>
        </w:rPr>
        <w:t xml:space="preserve"> </w:t>
      </w:r>
    </w:p>
    <w:p w:rsidR="002E66CF" w:rsidRDefault="002E66CF">
      <w:pPr>
        <w:spacing w:line="360" w:lineRule="auto"/>
        <w:rPr>
          <w:rFonts w:ascii="仿宋" w:eastAsia="仿宋" w:hAnsi="仿宋"/>
          <w:b/>
          <w:bCs/>
        </w:rPr>
      </w:pPr>
    </w:p>
    <w:p w:rsidR="002E66CF" w:rsidRDefault="000222B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#</w:t>
      </w:r>
      <w:r>
        <w:rPr>
          <w:rFonts w:ascii="仿宋" w:eastAsia="仿宋" w:hAnsi="仿宋"/>
          <w:sz w:val="24"/>
        </w:rPr>
        <w:t>符合《城市癌症早诊早治项目方案》推荐的</w:t>
      </w:r>
      <w:r>
        <w:rPr>
          <w:rFonts w:ascii="仿宋" w:eastAsia="仿宋" w:hAnsi="仿宋" w:hint="eastAsia"/>
          <w:sz w:val="24"/>
        </w:rPr>
        <w:t>F</w:t>
      </w:r>
      <w:r>
        <w:rPr>
          <w:rFonts w:ascii="仿宋" w:eastAsia="仿宋" w:hAnsi="仿宋"/>
          <w:sz w:val="24"/>
        </w:rPr>
        <w:t>IT</w:t>
      </w:r>
      <w:r>
        <w:rPr>
          <w:rFonts w:ascii="仿宋" w:eastAsia="仿宋" w:hAnsi="仿宋" w:hint="eastAsia"/>
          <w:sz w:val="24"/>
        </w:rPr>
        <w:t>试剂</w:t>
      </w:r>
      <w:r>
        <w:rPr>
          <w:rFonts w:ascii="仿宋" w:eastAsia="仿宋" w:hAnsi="仿宋"/>
          <w:sz w:val="24"/>
        </w:rPr>
        <w:t>的要求；</w:t>
      </w:r>
    </w:p>
    <w:p w:rsidR="002E66CF" w:rsidRDefault="000222B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提供</w:t>
      </w:r>
      <w:r>
        <w:rPr>
          <w:rFonts w:ascii="仿宋" w:eastAsia="仿宋" w:hAnsi="仿宋" w:hint="eastAsia"/>
          <w:sz w:val="24"/>
        </w:rPr>
        <w:t>产品具备药监局批准的二类医疗器械注册证及生产许可证；</w:t>
      </w:r>
    </w:p>
    <w:p w:rsidR="002E66CF" w:rsidRDefault="000222B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#</w:t>
      </w:r>
      <w:r>
        <w:rPr>
          <w:rFonts w:ascii="仿宋" w:eastAsia="仿宋" w:hAnsi="仿宋" w:hint="eastAsia"/>
          <w:sz w:val="24"/>
        </w:rPr>
        <w:t>产品可以用于非专业人士自行检测（提供可自测的相关证明文件）；</w:t>
      </w:r>
    </w:p>
    <w:p w:rsidR="002E66CF" w:rsidRDefault="000222B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#</w:t>
      </w:r>
      <w:r>
        <w:rPr>
          <w:rFonts w:ascii="仿宋" w:eastAsia="仿宋" w:hAnsi="仿宋"/>
          <w:sz w:val="24"/>
        </w:rPr>
        <w:t>有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/>
          <w:sz w:val="24"/>
        </w:rPr>
        <w:t>项及以上超过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/>
          <w:sz w:val="24"/>
        </w:rPr>
        <w:t>万人次的大型筛查项目应用经验（提供参与项目相关证明，未注明相关描述的扣除分数）；</w:t>
      </w:r>
    </w:p>
    <w:p w:rsidR="002E66CF" w:rsidRDefault="000222B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产品</w:t>
      </w:r>
      <w:r>
        <w:rPr>
          <w:rFonts w:ascii="仿宋" w:eastAsia="仿宋" w:hAnsi="仿宋"/>
          <w:sz w:val="24"/>
        </w:rPr>
        <w:t>使用免疫胶体金</w:t>
      </w:r>
      <w:r>
        <w:rPr>
          <w:rFonts w:ascii="仿宋" w:eastAsia="仿宋" w:hAnsi="仿宋" w:hint="eastAsia"/>
          <w:sz w:val="24"/>
        </w:rPr>
        <w:t>技术，</w:t>
      </w:r>
      <w:r>
        <w:rPr>
          <w:rFonts w:ascii="仿宋" w:eastAsia="仿宋" w:hAnsi="仿宋"/>
          <w:sz w:val="24"/>
        </w:rPr>
        <w:t>定性检测人粪便中微量的人血红蛋白，检测结果不受食物和药物影响；</w:t>
      </w:r>
    </w:p>
    <w:p w:rsidR="002E66CF" w:rsidRDefault="000222B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最低检测限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≤</w:t>
      </w:r>
      <w:r>
        <w:rPr>
          <w:rFonts w:ascii="仿宋" w:eastAsia="仿宋" w:hAnsi="仿宋"/>
          <w:sz w:val="24"/>
        </w:rPr>
        <w:t>100ng/ml</w:t>
      </w:r>
      <w:r>
        <w:rPr>
          <w:rFonts w:ascii="仿宋" w:eastAsia="仿宋" w:hAnsi="仿宋"/>
          <w:sz w:val="24"/>
        </w:rPr>
        <w:t>；</w:t>
      </w:r>
    </w:p>
    <w:p w:rsidR="002E66CF" w:rsidRDefault="000222B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#</w:t>
      </w:r>
      <w:r>
        <w:rPr>
          <w:rFonts w:ascii="仿宋" w:eastAsia="仿宋" w:hAnsi="仿宋" w:hint="eastAsia"/>
          <w:sz w:val="24"/>
        </w:rPr>
        <w:t>产品对应装置为采样检测</w:t>
      </w:r>
      <w:r>
        <w:rPr>
          <w:rFonts w:ascii="仿宋" w:eastAsia="仿宋" w:hAnsi="仿宋"/>
          <w:sz w:val="24"/>
        </w:rPr>
        <w:t>一体化</w:t>
      </w:r>
      <w:r>
        <w:rPr>
          <w:rFonts w:ascii="仿宋" w:eastAsia="仿宋" w:hAnsi="仿宋" w:hint="eastAsia"/>
          <w:sz w:val="24"/>
        </w:rPr>
        <w:t>结构</w:t>
      </w:r>
      <w:r>
        <w:rPr>
          <w:rFonts w:ascii="仿宋" w:eastAsia="仿宋" w:hAnsi="仿宋"/>
          <w:sz w:val="24"/>
        </w:rPr>
        <w:t>，</w:t>
      </w:r>
      <w:r>
        <w:rPr>
          <w:rFonts w:ascii="仿宋" w:eastAsia="仿宋" w:hAnsi="仿宋" w:hint="eastAsia"/>
          <w:sz w:val="24"/>
        </w:rPr>
        <w:t>可以</w:t>
      </w:r>
      <w:r>
        <w:rPr>
          <w:rFonts w:ascii="仿宋" w:eastAsia="仿宋" w:hAnsi="仿宋"/>
          <w:sz w:val="24"/>
        </w:rPr>
        <w:t>避免外部环境因素的污染或干扰，同时</w:t>
      </w:r>
      <w:r>
        <w:rPr>
          <w:rFonts w:ascii="仿宋" w:eastAsia="仿宋" w:hAnsi="仿宋" w:hint="eastAsia"/>
          <w:sz w:val="24"/>
        </w:rPr>
        <w:t>通过结构设计控</w:t>
      </w:r>
      <w:r>
        <w:rPr>
          <w:rFonts w:ascii="仿宋" w:eastAsia="仿宋" w:hAnsi="仿宋"/>
          <w:sz w:val="24"/>
        </w:rPr>
        <w:t>制人工操作带来的不一致性；</w:t>
      </w:r>
    </w:p>
    <w:p w:rsidR="002E66CF" w:rsidRDefault="000222B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产品使用人性化，操作简便，且结果判读</w:t>
      </w:r>
      <w:r>
        <w:rPr>
          <w:rFonts w:ascii="仿宋" w:eastAsia="仿宋" w:hAnsi="仿宋" w:hint="eastAsia"/>
          <w:sz w:val="24"/>
        </w:rPr>
        <w:t>方式</w:t>
      </w:r>
      <w:r>
        <w:rPr>
          <w:rFonts w:ascii="仿宋" w:eastAsia="仿宋" w:hAnsi="仿宋"/>
          <w:sz w:val="24"/>
        </w:rPr>
        <w:t>清晰明了；</w:t>
      </w:r>
    </w:p>
    <w:p w:rsidR="002E66CF" w:rsidRDefault="000222B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产品密封性：采样和标本稀释装置封闭设计，使用前后无液体外溢和回流；能保证长途运输不破损；</w:t>
      </w:r>
    </w:p>
    <w:p w:rsidR="002E66CF" w:rsidRDefault="000222B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产品储存要求：常温储存，无需冷藏（</w:t>
      </w:r>
      <w:r>
        <w:rPr>
          <w:rFonts w:ascii="仿宋" w:eastAsia="仿宋" w:hAnsi="仿宋" w:hint="eastAsia"/>
          <w:sz w:val="24"/>
        </w:rPr>
        <w:t>相关参数以产品注册</w:t>
      </w:r>
      <w:r>
        <w:rPr>
          <w:rFonts w:ascii="仿宋" w:eastAsia="仿宋" w:hAnsi="仿宋"/>
          <w:sz w:val="24"/>
        </w:rPr>
        <w:t>说明</w:t>
      </w:r>
      <w:r>
        <w:rPr>
          <w:rFonts w:ascii="仿宋" w:eastAsia="仿宋" w:hAnsi="仿宋" w:hint="eastAsia"/>
          <w:sz w:val="24"/>
        </w:rPr>
        <w:t>书描述为准</w:t>
      </w:r>
      <w:r>
        <w:rPr>
          <w:rFonts w:ascii="仿宋" w:eastAsia="仿宋" w:hAnsi="仿宋"/>
          <w:sz w:val="24"/>
        </w:rPr>
        <w:t>）；</w:t>
      </w:r>
    </w:p>
    <w:p w:rsidR="002E66CF" w:rsidRDefault="000222B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产品提供商配套数据收集及系统对接服务；</w:t>
      </w:r>
    </w:p>
    <w:p w:rsidR="002E66CF" w:rsidRDefault="000222B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产品附带辅助接样装置，方便</w:t>
      </w:r>
      <w:r>
        <w:rPr>
          <w:rFonts w:ascii="仿宋" w:eastAsia="仿宋" w:hAnsi="仿宋" w:hint="eastAsia"/>
          <w:sz w:val="24"/>
        </w:rPr>
        <w:t>取到隔水粪便样本</w:t>
      </w:r>
      <w:r>
        <w:rPr>
          <w:rFonts w:ascii="仿宋" w:eastAsia="仿宋" w:hAnsi="仿宋"/>
          <w:sz w:val="24"/>
        </w:rPr>
        <w:t>（提供辅助取样方案，不符合要求的扣除分数）；</w:t>
      </w:r>
    </w:p>
    <w:p w:rsidR="002E66CF" w:rsidRDefault="000222B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产品有成熟的使用后垃圾处理方案；</w:t>
      </w:r>
    </w:p>
    <w:p w:rsidR="002E66CF" w:rsidRDefault="000222B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产品使用问题配备专业售后团队解答及问题处理；</w:t>
      </w:r>
    </w:p>
    <w:p w:rsidR="002E66CF" w:rsidRDefault="000222B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厂家提供产品使用视频和使用指导说明书。</w:t>
      </w:r>
    </w:p>
    <w:p w:rsidR="002E66CF" w:rsidRDefault="002E66CF">
      <w:pPr>
        <w:pStyle w:val="a8"/>
        <w:ind w:firstLineChars="0" w:firstLine="0"/>
        <w:rPr>
          <w:rFonts w:ascii="仿宋" w:eastAsia="仿宋" w:hAnsi="仿宋" w:cstheme="minorBidi"/>
          <w:b/>
          <w:bCs/>
          <w:sz w:val="24"/>
        </w:rPr>
      </w:pPr>
    </w:p>
    <w:p w:rsidR="002E66CF" w:rsidRDefault="002E66CF">
      <w:pPr>
        <w:pStyle w:val="a8"/>
        <w:ind w:firstLineChars="0" w:firstLine="0"/>
        <w:rPr>
          <w:rFonts w:ascii="仿宋" w:eastAsia="仿宋" w:hAnsi="仿宋" w:cstheme="minorBidi"/>
          <w:b/>
          <w:bCs/>
          <w:sz w:val="24"/>
        </w:rPr>
      </w:pPr>
    </w:p>
    <w:p w:rsidR="002E66CF" w:rsidRDefault="002E66CF">
      <w:pPr>
        <w:pStyle w:val="a8"/>
        <w:ind w:firstLineChars="0" w:firstLine="0"/>
        <w:rPr>
          <w:rFonts w:ascii="仿宋" w:eastAsia="仿宋" w:hAnsi="仿宋" w:cstheme="minorBidi"/>
          <w:b/>
          <w:bCs/>
          <w:sz w:val="24"/>
        </w:rPr>
      </w:pPr>
    </w:p>
    <w:p w:rsidR="002E66CF" w:rsidRDefault="002E66CF">
      <w:pPr>
        <w:pStyle w:val="a8"/>
        <w:ind w:firstLineChars="0" w:firstLine="0"/>
        <w:rPr>
          <w:rFonts w:ascii="仿宋" w:eastAsia="仿宋" w:hAnsi="仿宋" w:cstheme="minorBidi"/>
          <w:b/>
          <w:bCs/>
          <w:sz w:val="24"/>
        </w:rPr>
      </w:pPr>
    </w:p>
    <w:p w:rsidR="002E66CF" w:rsidRDefault="002E66CF">
      <w:pPr>
        <w:pStyle w:val="a8"/>
        <w:ind w:firstLineChars="0" w:firstLine="0"/>
        <w:rPr>
          <w:rFonts w:ascii="仿宋" w:eastAsia="仿宋" w:hAnsi="仿宋" w:cstheme="minorBidi"/>
          <w:b/>
          <w:bCs/>
          <w:sz w:val="24"/>
        </w:rPr>
      </w:pPr>
    </w:p>
    <w:p w:rsidR="002E66CF" w:rsidRDefault="002E66CF">
      <w:pPr>
        <w:pStyle w:val="a8"/>
        <w:ind w:firstLineChars="0" w:firstLine="0"/>
        <w:rPr>
          <w:rFonts w:ascii="仿宋" w:eastAsia="仿宋" w:hAnsi="仿宋" w:cstheme="minorBidi"/>
          <w:b/>
          <w:bCs/>
          <w:sz w:val="24"/>
        </w:rPr>
      </w:pPr>
    </w:p>
    <w:p w:rsidR="002E66CF" w:rsidRDefault="002E66CF">
      <w:pPr>
        <w:pStyle w:val="a8"/>
        <w:ind w:firstLineChars="0" w:firstLine="0"/>
        <w:rPr>
          <w:rFonts w:ascii="仿宋" w:eastAsia="仿宋" w:hAnsi="仿宋" w:cstheme="minorBidi"/>
          <w:b/>
          <w:bCs/>
          <w:sz w:val="24"/>
        </w:rPr>
      </w:pPr>
    </w:p>
    <w:p w:rsidR="002E66CF" w:rsidRDefault="002E66CF">
      <w:pPr>
        <w:pStyle w:val="a8"/>
        <w:ind w:firstLineChars="0" w:firstLine="0"/>
        <w:rPr>
          <w:rFonts w:ascii="仿宋" w:eastAsia="仿宋" w:hAnsi="仿宋" w:cstheme="minorBidi"/>
          <w:b/>
          <w:bCs/>
          <w:sz w:val="24"/>
        </w:rPr>
      </w:pPr>
    </w:p>
    <w:p w:rsidR="002E66CF" w:rsidRDefault="002E66CF">
      <w:pPr>
        <w:pStyle w:val="a8"/>
        <w:ind w:firstLineChars="0" w:firstLine="0"/>
        <w:rPr>
          <w:rFonts w:ascii="仿宋" w:eastAsia="仿宋" w:hAnsi="仿宋" w:cstheme="minorBidi"/>
          <w:b/>
          <w:bCs/>
          <w:sz w:val="24"/>
        </w:rPr>
      </w:pPr>
      <w:bookmarkStart w:id="0" w:name="_GoBack"/>
      <w:bookmarkEnd w:id="0"/>
    </w:p>
    <w:p w:rsidR="002E66CF" w:rsidRDefault="002E66CF">
      <w:pPr>
        <w:pStyle w:val="a8"/>
        <w:ind w:firstLineChars="0" w:firstLine="0"/>
        <w:rPr>
          <w:rFonts w:ascii="仿宋" w:eastAsia="仿宋" w:hAnsi="仿宋" w:cstheme="minorBidi"/>
          <w:b/>
          <w:bCs/>
          <w:sz w:val="24"/>
        </w:rPr>
      </w:pPr>
    </w:p>
    <w:p w:rsidR="002E66CF" w:rsidRDefault="002E66CF">
      <w:pPr>
        <w:pStyle w:val="a8"/>
        <w:ind w:firstLineChars="0" w:firstLine="0"/>
        <w:rPr>
          <w:rFonts w:ascii="仿宋" w:eastAsia="仿宋" w:hAnsi="仿宋" w:cstheme="minorBidi"/>
          <w:b/>
          <w:bCs/>
          <w:sz w:val="24"/>
        </w:rPr>
      </w:pPr>
    </w:p>
    <w:p w:rsidR="002E66CF" w:rsidRDefault="000222B0">
      <w:pPr>
        <w:pStyle w:val="a8"/>
        <w:numPr>
          <w:ilvl w:val="0"/>
          <w:numId w:val="2"/>
        </w:numPr>
        <w:ind w:firstLineChars="0" w:firstLine="0"/>
        <w:rPr>
          <w:rFonts w:ascii="仿宋" w:eastAsia="仿宋" w:hAnsi="仿宋" w:cs="仿宋"/>
          <w:b/>
          <w:bCs/>
          <w:color w:val="000000"/>
          <w:kern w:val="0"/>
          <w:szCs w:val="21"/>
          <w:lang/>
        </w:rPr>
      </w:pPr>
      <w:r>
        <w:rPr>
          <w:rFonts w:ascii="仿宋" w:eastAsia="仿宋" w:hAnsi="仿宋" w:cstheme="minorBidi" w:hint="eastAsia"/>
          <w:b/>
          <w:bCs/>
          <w:sz w:val="24"/>
        </w:rPr>
        <w:lastRenderedPageBreak/>
        <w:t>HBV</w:t>
      </w:r>
      <w:r>
        <w:rPr>
          <w:rFonts w:ascii="仿宋" w:eastAsia="仿宋" w:hAnsi="仿宋" w:cstheme="minorBidi" w:hint="eastAsia"/>
          <w:b/>
          <w:bCs/>
          <w:sz w:val="24"/>
        </w:rPr>
        <w:t>检测招标参数</w:t>
      </w:r>
      <w:r>
        <w:rPr>
          <w:rFonts w:ascii="仿宋" w:eastAsia="仿宋" w:hAnsi="仿宋" w:cs="仿宋" w:hint="eastAsia"/>
          <w:b/>
          <w:bCs/>
          <w:color w:val="000000"/>
          <w:kern w:val="0"/>
          <w:szCs w:val="21"/>
          <w:lang/>
        </w:rPr>
        <w:t>HBV-5</w:t>
      </w:r>
    </w:p>
    <w:tbl>
      <w:tblPr>
        <w:tblW w:w="7789" w:type="dxa"/>
        <w:tblInd w:w="96" w:type="dxa"/>
        <w:tblLook w:val="04A0"/>
      </w:tblPr>
      <w:tblGrid>
        <w:gridCol w:w="1723"/>
        <w:gridCol w:w="6066"/>
      </w:tblGrid>
      <w:tr w:rsidR="002E66CF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规格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人份、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人份、</w:t>
            </w:r>
            <w:r>
              <w:rPr>
                <w:rStyle w:val="font41"/>
                <w:rFonts w:ascii="仿宋" w:eastAsia="仿宋" w:hAnsi="仿宋" w:cs="仿宋" w:hint="default"/>
                <w:sz w:val="21"/>
                <w:szCs w:val="21"/>
                <w:lang/>
              </w:rPr>
              <w:t>25</w:t>
            </w:r>
            <w:r>
              <w:rPr>
                <w:rStyle w:val="font41"/>
                <w:rFonts w:ascii="仿宋" w:eastAsia="仿宋" w:hAnsi="仿宋" w:cs="仿宋" w:hint="default"/>
                <w:sz w:val="21"/>
                <w:szCs w:val="21"/>
                <w:lang/>
              </w:rPr>
              <w:t>人份、</w:t>
            </w:r>
            <w:r>
              <w:rPr>
                <w:rStyle w:val="font41"/>
                <w:rFonts w:ascii="仿宋" w:eastAsia="仿宋" w:hAnsi="仿宋" w:cs="仿宋" w:hint="default"/>
                <w:sz w:val="21"/>
                <w:szCs w:val="21"/>
                <w:lang/>
              </w:rPr>
              <w:t>30</w:t>
            </w:r>
            <w:r>
              <w:rPr>
                <w:rStyle w:val="font41"/>
                <w:rFonts w:ascii="仿宋" w:eastAsia="仿宋" w:hAnsi="仿宋" w:cs="仿宋" w:hint="default"/>
                <w:sz w:val="21"/>
                <w:szCs w:val="21"/>
                <w:lang/>
              </w:rPr>
              <w:t>人份、</w:t>
            </w:r>
            <w:r>
              <w:rPr>
                <w:rStyle w:val="font41"/>
                <w:rFonts w:ascii="仿宋" w:eastAsia="仿宋" w:hAnsi="仿宋" w:cs="仿宋" w:hint="default"/>
                <w:sz w:val="21"/>
                <w:szCs w:val="21"/>
                <w:lang/>
              </w:rPr>
              <w:t>40</w:t>
            </w:r>
            <w:r>
              <w:rPr>
                <w:rStyle w:val="font41"/>
                <w:rFonts w:ascii="仿宋" w:eastAsia="仿宋" w:hAnsi="仿宋" w:cs="仿宋" w:hint="default"/>
                <w:sz w:val="21"/>
                <w:szCs w:val="21"/>
                <w:lang/>
              </w:rPr>
              <w:t>人份、</w:t>
            </w:r>
            <w:r>
              <w:rPr>
                <w:rStyle w:val="font41"/>
                <w:rFonts w:ascii="仿宋" w:eastAsia="仿宋" w:hAnsi="仿宋" w:cs="仿宋" w:hint="default"/>
                <w:sz w:val="21"/>
                <w:szCs w:val="21"/>
                <w:lang/>
              </w:rPr>
              <w:t>50</w:t>
            </w:r>
            <w:r>
              <w:rPr>
                <w:rStyle w:val="font41"/>
                <w:rFonts w:ascii="仿宋" w:eastAsia="仿宋" w:hAnsi="仿宋" w:cs="仿宋" w:hint="default"/>
                <w:sz w:val="21"/>
                <w:szCs w:val="21"/>
                <w:lang/>
              </w:rPr>
              <w:t>人份</w:t>
            </w:r>
          </w:p>
        </w:tc>
      </w:tr>
      <w:tr w:rsidR="002E66CF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剂型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*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卡型</w:t>
            </w:r>
          </w:p>
        </w:tc>
      </w:tr>
      <w:tr w:rsidR="002E66CF">
        <w:trPr>
          <w:trHeight w:val="406"/>
        </w:trPr>
        <w:tc>
          <w:tcPr>
            <w:tcW w:w="1723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样本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*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血清、血浆</w:t>
            </w:r>
          </w:p>
        </w:tc>
      </w:tr>
      <w:tr w:rsidR="002E66CF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方法学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*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胶体金免疫层析法</w:t>
            </w:r>
          </w:p>
        </w:tc>
      </w:tr>
      <w:tr w:rsidR="002E66CF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检验原理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*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夹心法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竞争法</w:t>
            </w:r>
          </w:p>
        </w:tc>
      </w:tr>
      <w:tr w:rsidR="002E66CF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储存条件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*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2-30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度，密封干燥</w:t>
            </w:r>
          </w:p>
        </w:tc>
      </w:tr>
      <w:tr w:rsidR="002E66CF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有效期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个月</w:t>
            </w:r>
          </w:p>
        </w:tc>
      </w:tr>
      <w:tr w:rsidR="002E66CF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标本加样量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60ul/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*5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孔</w:t>
            </w:r>
          </w:p>
        </w:tc>
      </w:tr>
      <w:tr w:rsidR="002E66CF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结果观察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20-30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分钟</w:t>
            </w:r>
          </w:p>
        </w:tc>
      </w:tr>
      <w:tr w:rsidR="002E66CF">
        <w:trPr>
          <w:trHeight w:val="900"/>
        </w:trPr>
        <w:tc>
          <w:tcPr>
            <w:tcW w:w="1723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阳性符合率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用国家参考品进行检定：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HBsAg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份阳性参考品不得出现假阴；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HBeAg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份阳性参考品检出≥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9/10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HBeAb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份阳性参考品检出≥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9/10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HBcAb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份阳性参考品检出≥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14/15</w:t>
            </w:r>
          </w:p>
        </w:tc>
      </w:tr>
      <w:tr w:rsidR="002E66CF">
        <w:trPr>
          <w:trHeight w:val="1200"/>
        </w:trPr>
        <w:tc>
          <w:tcPr>
            <w:tcW w:w="1723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阴性符合率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用国家参考品进行检定：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HBsAg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份阴性参考品不得出现假阳；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HBsAb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份阴性参考品不得出现假阳；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HBeAg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份阴性参考品不得出现假阳；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HBeAb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份阴性参考品不得出现假阳；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HBcAb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份阴性参考品不得出现假阳</w:t>
            </w:r>
          </w:p>
        </w:tc>
      </w:tr>
      <w:tr w:rsidR="002E66CF">
        <w:trPr>
          <w:trHeight w:val="1200"/>
        </w:trPr>
        <w:tc>
          <w:tcPr>
            <w:tcW w:w="1723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灵敏度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用国家参考品进行检定：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HBsAg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：最低检出量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adr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5IU/ml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adw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5IU/ml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ay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5IU/ml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HBsAb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：最低检出量≤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30mIU/ml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HBeAg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：最低检出量≤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5IU/ml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HBeAb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：最低检出量≤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6IU/ml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HBcAb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：最低检出量≤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5IU/ml</w:t>
            </w:r>
          </w:p>
        </w:tc>
      </w:tr>
      <w:tr w:rsidR="002E66CF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精密度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用国家参考品进行检定：平行测定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Style w:val="font41"/>
                <w:rFonts w:ascii="仿宋" w:eastAsia="仿宋" w:hAnsi="仿宋" w:cs="仿宋" w:hint="default"/>
                <w:sz w:val="21"/>
                <w:szCs w:val="21"/>
                <w:lang/>
              </w:rPr>
              <w:t>0</w:t>
            </w:r>
            <w:r>
              <w:rPr>
                <w:rStyle w:val="font41"/>
                <w:rFonts w:ascii="仿宋" w:eastAsia="仿宋" w:hAnsi="仿宋" w:cs="仿宋" w:hint="default"/>
                <w:sz w:val="21"/>
                <w:szCs w:val="21"/>
                <w:lang/>
              </w:rPr>
              <w:t>次，结果均为阳性，显色均一</w:t>
            </w:r>
          </w:p>
        </w:tc>
      </w:tr>
      <w:tr w:rsidR="002E66CF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稳定性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根据行业要求进行阴、阳性符合率、灵敏度、精密性进行检定</w:t>
            </w:r>
          </w:p>
        </w:tc>
      </w:tr>
      <w:tr w:rsidR="002E66CF">
        <w:trPr>
          <w:trHeight w:val="900"/>
        </w:trPr>
        <w:tc>
          <w:tcPr>
            <w:tcW w:w="1723" w:type="dxa"/>
            <w:shd w:val="clear" w:color="auto" w:fill="auto"/>
            <w:noWrap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服务要求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*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E66CF" w:rsidRDefault="000222B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产品使用问题配备专业售后团队解答及问题处理、配备全国范围协助工程师。取样时效：一日之内≥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次上门取样。物流运输：投标人提供专业生物样本物流公司，全国区域当日响应能力；</w:t>
            </w:r>
          </w:p>
        </w:tc>
      </w:tr>
    </w:tbl>
    <w:p w:rsidR="002E66CF" w:rsidRDefault="002E66CF">
      <w:pPr>
        <w:rPr>
          <w:rFonts w:ascii="仿宋" w:eastAsia="仿宋" w:hAnsi="仿宋"/>
        </w:rPr>
      </w:pPr>
    </w:p>
    <w:sectPr w:rsidR="002E66CF" w:rsidSect="002E6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2B0" w:rsidRDefault="000222B0" w:rsidP="00E22095">
      <w:pPr>
        <w:spacing w:line="240" w:lineRule="auto"/>
      </w:pPr>
      <w:r>
        <w:separator/>
      </w:r>
    </w:p>
  </w:endnote>
  <w:endnote w:type="continuationSeparator" w:id="0">
    <w:p w:rsidR="000222B0" w:rsidRDefault="000222B0" w:rsidP="00E22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2B0" w:rsidRDefault="000222B0" w:rsidP="00E22095">
      <w:pPr>
        <w:spacing w:line="240" w:lineRule="auto"/>
      </w:pPr>
      <w:r>
        <w:separator/>
      </w:r>
    </w:p>
  </w:footnote>
  <w:footnote w:type="continuationSeparator" w:id="0">
    <w:p w:rsidR="000222B0" w:rsidRDefault="000222B0" w:rsidP="00E22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6187"/>
    <w:multiLevelType w:val="multilevel"/>
    <w:tmpl w:val="2C01618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8402D"/>
    <w:multiLevelType w:val="multilevel"/>
    <w:tmpl w:val="53E8402D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decimal"/>
      <w:lvlText w:val="%2）"/>
      <w:lvlJc w:val="left"/>
      <w:pPr>
        <w:ind w:left="780" w:hanging="360"/>
      </w:pPr>
      <w:rPr>
        <w:rFonts w:asciiTheme="minorEastAsia" w:hAnsiTheme="minorEastAsia" w:cs="Arial" w:hint="eastAsia"/>
        <w:b w:val="0"/>
        <w:sz w:val="21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4D03ED"/>
    <w:multiLevelType w:val="singleLevel"/>
    <w:tmpl w:val="564D03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2FB"/>
    <w:rsid w:val="0000471A"/>
    <w:rsid w:val="000222B0"/>
    <w:rsid w:val="0005524B"/>
    <w:rsid w:val="000F5BB8"/>
    <w:rsid w:val="001712FB"/>
    <w:rsid w:val="001A5EE0"/>
    <w:rsid w:val="001D375B"/>
    <w:rsid w:val="001F524D"/>
    <w:rsid w:val="00291050"/>
    <w:rsid w:val="002E66CF"/>
    <w:rsid w:val="004A6A92"/>
    <w:rsid w:val="004E2793"/>
    <w:rsid w:val="0056261A"/>
    <w:rsid w:val="006E3C9C"/>
    <w:rsid w:val="00766D6B"/>
    <w:rsid w:val="00792A60"/>
    <w:rsid w:val="007E393C"/>
    <w:rsid w:val="008678D6"/>
    <w:rsid w:val="0088770C"/>
    <w:rsid w:val="008B39F8"/>
    <w:rsid w:val="008D79A3"/>
    <w:rsid w:val="008E70A8"/>
    <w:rsid w:val="00964D0F"/>
    <w:rsid w:val="00977482"/>
    <w:rsid w:val="00A10318"/>
    <w:rsid w:val="00A34572"/>
    <w:rsid w:val="00A47B3D"/>
    <w:rsid w:val="00A6773C"/>
    <w:rsid w:val="00AA7672"/>
    <w:rsid w:val="00AA76E8"/>
    <w:rsid w:val="00AD355A"/>
    <w:rsid w:val="00BB7F3B"/>
    <w:rsid w:val="00C54EC0"/>
    <w:rsid w:val="00C70619"/>
    <w:rsid w:val="00DB665C"/>
    <w:rsid w:val="00E1142F"/>
    <w:rsid w:val="00E22095"/>
    <w:rsid w:val="00E8128D"/>
    <w:rsid w:val="04066916"/>
    <w:rsid w:val="22846F24"/>
    <w:rsid w:val="22F21CC4"/>
    <w:rsid w:val="2F9B66B7"/>
    <w:rsid w:val="35CD3044"/>
    <w:rsid w:val="5A9D70FF"/>
    <w:rsid w:val="6762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CF"/>
    <w:pPr>
      <w:widowControl w:val="0"/>
      <w:spacing w:line="440" w:lineRule="exact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2E66CF"/>
    <w:pPr>
      <w:keepNext/>
      <w:widowControl/>
      <w:numPr>
        <w:numId w:val="1"/>
      </w:numPr>
      <w:spacing w:beforeLines="100" w:afterLines="100"/>
      <w:jc w:val="left"/>
      <w:outlineLvl w:val="0"/>
    </w:pPr>
    <w:rPr>
      <w:rFonts w:ascii="Arial" w:hAnsi="Arial" w:cs="Arial"/>
      <w:b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66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2E66CF"/>
    <w:pPr>
      <w:jc w:val="left"/>
    </w:pPr>
  </w:style>
  <w:style w:type="paragraph" w:styleId="a4">
    <w:name w:val="footer"/>
    <w:basedOn w:val="a"/>
    <w:link w:val="Char0"/>
    <w:uiPriority w:val="99"/>
    <w:unhideWhenUsed/>
    <w:rsid w:val="002E66C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E6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rsid w:val="002E66CF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2E66CF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2E66CF"/>
    <w:rPr>
      <w:rFonts w:ascii="Arial" w:hAnsi="Arial" w:cs="Arial"/>
      <w:b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qFormat/>
    <w:rsid w:val="002E66CF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8">
    <w:name w:val="List Paragraph"/>
    <w:basedOn w:val="a"/>
    <w:uiPriority w:val="34"/>
    <w:qFormat/>
    <w:rsid w:val="002E66CF"/>
    <w:pPr>
      <w:spacing w:line="240" w:lineRule="auto"/>
      <w:ind w:firstLineChars="200" w:firstLine="420"/>
    </w:pPr>
    <w:rPr>
      <w:rFonts w:ascii="Times New Roman" w:eastAsia="宋体" w:hAnsi="Times New Roman" w:cs="Times New Roman"/>
      <w:sz w:val="21"/>
    </w:rPr>
  </w:style>
  <w:style w:type="character" w:customStyle="1" w:styleId="Char1">
    <w:name w:val="页眉 Char"/>
    <w:basedOn w:val="a0"/>
    <w:link w:val="a5"/>
    <w:uiPriority w:val="99"/>
    <w:qFormat/>
    <w:rsid w:val="002E66C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E66CF"/>
    <w:rPr>
      <w:sz w:val="18"/>
      <w:szCs w:val="18"/>
    </w:rPr>
  </w:style>
  <w:style w:type="character" w:customStyle="1" w:styleId="font41">
    <w:name w:val="font41"/>
    <w:basedOn w:val="a0"/>
    <w:qFormat/>
    <w:rsid w:val="002E66CF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Char">
    <w:name w:val="批注文字 Char"/>
    <w:basedOn w:val="a0"/>
    <w:link w:val="a3"/>
    <w:uiPriority w:val="99"/>
    <w:semiHidden/>
    <w:rsid w:val="002E66CF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Char2">
    <w:name w:val="批注主题 Char"/>
    <w:basedOn w:val="Char"/>
    <w:link w:val="a6"/>
    <w:uiPriority w:val="99"/>
    <w:semiHidden/>
    <w:rsid w:val="002E66CF"/>
    <w:rPr>
      <w:rFonts w:asciiTheme="minorHAnsi" w:eastAsiaTheme="minorEastAsia" w:hAnsiTheme="minorHAnsi" w:cstheme="minorBidi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审核</dc:creator>
  <cp:lastModifiedBy>ts</cp:lastModifiedBy>
  <cp:revision>21</cp:revision>
  <dcterms:created xsi:type="dcterms:W3CDTF">2021-08-09T00:58:00Z</dcterms:created>
  <dcterms:modified xsi:type="dcterms:W3CDTF">2021-11-26T07:41:00Z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E68FEF886C774FC8AC8724CDC0F00484</vt:lpwstr>
  </property>
</Properties>
</file>